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1C" w:rsidRDefault="00AB671C" w:rsidP="00AB76FB">
      <w:pPr>
        <w:pStyle w:val="Default"/>
        <w:jc w:val="center"/>
        <w:rPr>
          <w:rFonts w:ascii="Times New Roman" w:hAnsi="Times New Roman" w:cs="Times New Roman"/>
          <w:b/>
          <w:bCs/>
          <w:sz w:val="32"/>
        </w:rPr>
      </w:pPr>
    </w:p>
    <w:p w:rsidR="00AB671C" w:rsidRDefault="00AB671C" w:rsidP="00AB76FB">
      <w:pPr>
        <w:pStyle w:val="Default"/>
        <w:jc w:val="center"/>
        <w:rPr>
          <w:rFonts w:ascii="Times New Roman" w:hAnsi="Times New Roman" w:cs="Times New Roman"/>
          <w:b/>
          <w:bCs/>
          <w:sz w:val="32"/>
        </w:rPr>
      </w:pPr>
    </w:p>
    <w:p w:rsidR="00AB671C" w:rsidRDefault="00AB671C" w:rsidP="00AB76FB">
      <w:pPr>
        <w:pStyle w:val="Default"/>
        <w:jc w:val="center"/>
        <w:rPr>
          <w:rFonts w:ascii="Times New Roman" w:hAnsi="Times New Roman" w:cs="Times New Roman"/>
          <w:b/>
          <w:bCs/>
          <w:sz w:val="32"/>
        </w:rPr>
      </w:pPr>
    </w:p>
    <w:p w:rsidR="00AB671C" w:rsidRDefault="00AB671C" w:rsidP="00AB76FB">
      <w:pPr>
        <w:pStyle w:val="Default"/>
        <w:jc w:val="center"/>
        <w:rPr>
          <w:rFonts w:ascii="Times New Roman" w:hAnsi="Times New Roman" w:cs="Times New Roman"/>
          <w:b/>
          <w:bCs/>
          <w:sz w:val="32"/>
        </w:rPr>
      </w:pPr>
    </w:p>
    <w:p w:rsidR="00AB671C" w:rsidRPr="005B3F0D" w:rsidRDefault="00AB76FB" w:rsidP="00AB76FB">
      <w:pPr>
        <w:pStyle w:val="Default"/>
        <w:jc w:val="center"/>
        <w:rPr>
          <w:rFonts w:ascii="Times New Roman" w:hAnsi="Times New Roman" w:cs="Times New Roman"/>
          <w:b/>
          <w:bCs/>
          <w:sz w:val="40"/>
        </w:rPr>
      </w:pPr>
      <w:r w:rsidRPr="005B3F0D">
        <w:rPr>
          <w:rFonts w:ascii="Times New Roman" w:hAnsi="Times New Roman" w:cs="Times New Roman"/>
          <w:b/>
          <w:bCs/>
          <w:sz w:val="40"/>
        </w:rPr>
        <w:t>ΑΞΙΟΛΟΓΗΣΗ ΠΡΟΓΡΑΜΜΑΤΟΣ</w:t>
      </w:r>
    </w:p>
    <w:p w:rsidR="00AB671C" w:rsidRDefault="00AB671C" w:rsidP="00AB76FB">
      <w:pPr>
        <w:pStyle w:val="Default"/>
        <w:jc w:val="center"/>
        <w:rPr>
          <w:rFonts w:ascii="Times New Roman" w:hAnsi="Times New Roman" w:cs="Times New Roman"/>
          <w:b/>
          <w:bCs/>
          <w:sz w:val="36"/>
        </w:rPr>
      </w:pPr>
    </w:p>
    <w:p w:rsidR="00AB671C" w:rsidRDefault="00AB671C" w:rsidP="00AB76FB">
      <w:pPr>
        <w:pStyle w:val="Default"/>
        <w:jc w:val="center"/>
        <w:rPr>
          <w:rFonts w:ascii="Times New Roman" w:hAnsi="Times New Roman" w:cs="Times New Roman"/>
          <w:b/>
          <w:bCs/>
          <w:sz w:val="36"/>
        </w:rPr>
      </w:pPr>
    </w:p>
    <w:p w:rsidR="00AB671C" w:rsidRPr="00AB671C" w:rsidRDefault="00AB671C" w:rsidP="00AB76FB">
      <w:pPr>
        <w:pStyle w:val="Default"/>
        <w:jc w:val="center"/>
        <w:rPr>
          <w:rFonts w:ascii="Times New Roman" w:hAnsi="Times New Roman" w:cs="Times New Roman"/>
          <w:b/>
          <w:bCs/>
          <w:sz w:val="36"/>
        </w:rPr>
      </w:pPr>
    </w:p>
    <w:p w:rsidR="00AB76FB" w:rsidRPr="005B3F0D" w:rsidRDefault="00AB76FB" w:rsidP="00AB76FB">
      <w:pPr>
        <w:pStyle w:val="Default"/>
        <w:jc w:val="center"/>
        <w:rPr>
          <w:rFonts w:ascii="Times New Roman" w:hAnsi="Times New Roman" w:cs="Times New Roman"/>
          <w:b/>
          <w:sz w:val="36"/>
        </w:rPr>
      </w:pPr>
      <w:r w:rsidRPr="005B3F0D">
        <w:rPr>
          <w:rFonts w:ascii="Times New Roman" w:hAnsi="Times New Roman" w:cs="Times New Roman"/>
          <w:b/>
          <w:bCs/>
          <w:sz w:val="36"/>
          <w:lang w:val="en-US"/>
        </w:rPr>
        <w:t>ERASMUS</w:t>
      </w:r>
      <w:r w:rsidRPr="005B3F0D">
        <w:rPr>
          <w:rFonts w:ascii="Times New Roman" w:hAnsi="Times New Roman" w:cs="Times New Roman"/>
          <w:b/>
          <w:bCs/>
          <w:sz w:val="36"/>
        </w:rPr>
        <w:t>+</w:t>
      </w:r>
      <w:r w:rsidRPr="005B3F0D">
        <w:rPr>
          <w:rFonts w:ascii="Times New Roman" w:hAnsi="Times New Roman" w:cs="Times New Roman"/>
          <w:b/>
          <w:sz w:val="36"/>
        </w:rPr>
        <w:t xml:space="preserve"> </w:t>
      </w:r>
      <w:r w:rsidRPr="005B3F0D">
        <w:rPr>
          <w:rFonts w:ascii="Times New Roman" w:hAnsi="Times New Roman" w:cs="Times New Roman"/>
          <w:b/>
          <w:sz w:val="36"/>
          <w:lang w:val="en-US"/>
        </w:rPr>
        <w:t>KA</w:t>
      </w:r>
      <w:r w:rsidRPr="005B3F0D">
        <w:rPr>
          <w:rFonts w:ascii="Times New Roman" w:hAnsi="Times New Roman" w:cs="Times New Roman"/>
          <w:b/>
          <w:sz w:val="36"/>
        </w:rPr>
        <w:t>1 - ΕΠΑΓΓΕΛΜΑΤΙΚΗ ΕΚΠΑΙΔΕΥΣΗ &amp; ΚΑΤΑΡΤΙΣΗ</w:t>
      </w:r>
    </w:p>
    <w:p w:rsidR="00AB76FB" w:rsidRPr="00AB76FB" w:rsidRDefault="00AB76FB" w:rsidP="00AB76FB">
      <w:pPr>
        <w:pStyle w:val="Default"/>
        <w:jc w:val="center"/>
        <w:rPr>
          <w:rFonts w:ascii="Times New Roman" w:hAnsi="Times New Roman" w:cs="Times New Roman"/>
          <w:sz w:val="32"/>
        </w:rPr>
      </w:pPr>
    </w:p>
    <w:p w:rsidR="00AB76FB" w:rsidRDefault="00AB76FB" w:rsidP="00AB76FB">
      <w:pPr>
        <w:pStyle w:val="Default"/>
        <w:jc w:val="center"/>
        <w:rPr>
          <w:rFonts w:ascii="Times New Roman" w:hAnsi="Times New Roman" w:cs="Times New Roman"/>
          <w:bCs/>
          <w:sz w:val="32"/>
        </w:rPr>
      </w:pPr>
    </w:p>
    <w:p w:rsidR="00AB76FB" w:rsidRDefault="00AB76FB" w:rsidP="00AB76FB">
      <w:pPr>
        <w:pStyle w:val="Default"/>
        <w:jc w:val="center"/>
        <w:rPr>
          <w:rFonts w:ascii="Times New Roman" w:hAnsi="Times New Roman" w:cs="Times New Roman"/>
          <w:bCs/>
          <w:sz w:val="32"/>
        </w:rPr>
      </w:pPr>
    </w:p>
    <w:p w:rsidR="00AB671C" w:rsidRDefault="00AB671C" w:rsidP="00AB76FB">
      <w:pPr>
        <w:pStyle w:val="Default"/>
        <w:jc w:val="center"/>
        <w:rPr>
          <w:rFonts w:ascii="Times New Roman" w:hAnsi="Times New Roman" w:cs="Times New Roman"/>
          <w:bCs/>
          <w:sz w:val="32"/>
        </w:rPr>
      </w:pPr>
    </w:p>
    <w:p w:rsidR="00AB671C" w:rsidRPr="00AB76FB" w:rsidRDefault="00AB671C" w:rsidP="00AB76FB">
      <w:pPr>
        <w:pStyle w:val="Default"/>
        <w:jc w:val="center"/>
        <w:rPr>
          <w:rFonts w:ascii="Times New Roman" w:hAnsi="Times New Roman" w:cs="Times New Roman"/>
          <w:bCs/>
          <w:sz w:val="32"/>
        </w:rPr>
      </w:pPr>
    </w:p>
    <w:p w:rsidR="00AB671C" w:rsidRDefault="00AB76FB" w:rsidP="00AB76FB">
      <w:pPr>
        <w:pStyle w:val="Default"/>
        <w:jc w:val="center"/>
        <w:rPr>
          <w:rFonts w:ascii="Times New Roman" w:hAnsi="Times New Roman" w:cs="Times New Roman"/>
          <w:bCs/>
          <w:sz w:val="32"/>
        </w:rPr>
      </w:pPr>
      <w:r>
        <w:rPr>
          <w:rFonts w:ascii="Times New Roman" w:hAnsi="Times New Roman" w:cs="Times New Roman"/>
          <w:bCs/>
          <w:sz w:val="32"/>
        </w:rPr>
        <w:t>ΤΙΤΛΟΣ</w:t>
      </w:r>
      <w:r w:rsidR="00AB671C">
        <w:rPr>
          <w:rFonts w:ascii="Times New Roman" w:hAnsi="Times New Roman" w:cs="Times New Roman"/>
          <w:bCs/>
          <w:sz w:val="32"/>
        </w:rPr>
        <w:t xml:space="preserve"> ΠΡΟΓΡΑΜΜΑΤΟΣ</w:t>
      </w:r>
    </w:p>
    <w:p w:rsidR="00AB76FB" w:rsidRDefault="00AB76FB" w:rsidP="00AB76FB">
      <w:pPr>
        <w:pStyle w:val="Default"/>
        <w:jc w:val="center"/>
        <w:rPr>
          <w:rFonts w:ascii="Times New Roman" w:hAnsi="Times New Roman" w:cs="Times New Roman"/>
          <w:bCs/>
          <w:sz w:val="32"/>
        </w:rPr>
      </w:pPr>
      <w:r>
        <w:rPr>
          <w:rFonts w:ascii="Times New Roman" w:hAnsi="Times New Roman" w:cs="Times New Roman"/>
          <w:bCs/>
          <w:sz w:val="32"/>
        </w:rPr>
        <w:t xml:space="preserve"> «</w:t>
      </w:r>
      <w:r w:rsidRPr="00AB76FB">
        <w:rPr>
          <w:rFonts w:ascii="Times New Roman" w:hAnsi="Times New Roman" w:cs="Times New Roman"/>
          <w:bCs/>
          <w:sz w:val="32"/>
        </w:rPr>
        <w:t>Καινοτόμες προσεγγίσεις για τη βελτίωση δεξιοτήτων μαθητών Εσπερινής Επαγγελματικής Εκπαίδευσης</w:t>
      </w:r>
      <w:r>
        <w:rPr>
          <w:rFonts w:ascii="Times New Roman" w:hAnsi="Times New Roman" w:cs="Times New Roman"/>
          <w:bCs/>
          <w:sz w:val="32"/>
        </w:rPr>
        <w:t>»</w:t>
      </w: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671C" w:rsidRDefault="00AB671C" w:rsidP="00AB76FB">
      <w:pPr>
        <w:pStyle w:val="Default"/>
        <w:rPr>
          <w:rFonts w:ascii="Times New Roman" w:hAnsi="Times New Roman" w:cs="Times New Roman"/>
          <w:bCs/>
          <w:sz w:val="32"/>
        </w:rPr>
      </w:pPr>
    </w:p>
    <w:p w:rsidR="00AB671C" w:rsidRPr="00AB76FB" w:rsidRDefault="00AB671C" w:rsidP="00AB76FB">
      <w:pPr>
        <w:pStyle w:val="Default"/>
        <w:rPr>
          <w:rFonts w:ascii="Times New Roman" w:hAnsi="Times New Roman" w:cs="Times New Roman"/>
          <w:bCs/>
          <w:sz w:val="32"/>
        </w:rPr>
      </w:pPr>
    </w:p>
    <w:p w:rsidR="00AB671C" w:rsidRDefault="00AB76FB" w:rsidP="00AB76FB">
      <w:pPr>
        <w:pStyle w:val="Default"/>
        <w:jc w:val="center"/>
        <w:rPr>
          <w:rFonts w:ascii="Times New Roman" w:hAnsi="Times New Roman" w:cs="Times New Roman"/>
          <w:bCs/>
          <w:sz w:val="32"/>
        </w:rPr>
      </w:pPr>
      <w:r>
        <w:rPr>
          <w:rFonts w:ascii="Times New Roman" w:hAnsi="Times New Roman" w:cs="Times New Roman"/>
          <w:bCs/>
          <w:sz w:val="32"/>
        </w:rPr>
        <w:t xml:space="preserve">ΚΩΔΙΚΟΣ </w:t>
      </w:r>
      <w:r w:rsidR="00AB671C">
        <w:rPr>
          <w:rFonts w:ascii="Times New Roman" w:hAnsi="Times New Roman" w:cs="Times New Roman"/>
          <w:bCs/>
          <w:sz w:val="32"/>
        </w:rPr>
        <w:t>ΠΡΟΓΡΑΜΜΑΤΟΣ</w:t>
      </w:r>
    </w:p>
    <w:p w:rsidR="00AB76FB" w:rsidRDefault="00AB76FB" w:rsidP="00AB76FB">
      <w:pPr>
        <w:pStyle w:val="Default"/>
        <w:jc w:val="center"/>
        <w:rPr>
          <w:rFonts w:ascii="Times New Roman" w:hAnsi="Times New Roman" w:cs="Times New Roman"/>
          <w:bCs/>
          <w:sz w:val="32"/>
        </w:rPr>
      </w:pPr>
      <w:r>
        <w:rPr>
          <w:rFonts w:ascii="Times New Roman" w:hAnsi="Times New Roman" w:cs="Times New Roman"/>
          <w:bCs/>
          <w:sz w:val="32"/>
        </w:rPr>
        <w:t>«</w:t>
      </w:r>
      <w:r w:rsidRPr="00AB76FB">
        <w:rPr>
          <w:rFonts w:ascii="Times New Roman" w:hAnsi="Times New Roman" w:cs="Times New Roman"/>
          <w:bCs/>
          <w:sz w:val="32"/>
        </w:rPr>
        <w:t>2019-1-EL01-KA102-062397</w:t>
      </w:r>
      <w:r>
        <w:rPr>
          <w:rFonts w:ascii="Times New Roman" w:hAnsi="Times New Roman" w:cs="Times New Roman"/>
          <w:bCs/>
          <w:sz w:val="32"/>
        </w:rPr>
        <w:t>»</w:t>
      </w: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76FB" w:rsidRPr="00BD098C" w:rsidRDefault="00BD098C" w:rsidP="00BD098C">
      <w:pPr>
        <w:pStyle w:val="Default"/>
        <w:jc w:val="center"/>
        <w:rPr>
          <w:rFonts w:ascii="Times New Roman" w:hAnsi="Times New Roman" w:cs="Times New Roman"/>
          <w:b/>
          <w:bCs/>
          <w:sz w:val="36"/>
        </w:rPr>
      </w:pPr>
      <w:r w:rsidRPr="00BD098C">
        <w:rPr>
          <w:rFonts w:ascii="Times New Roman" w:hAnsi="Times New Roman" w:cs="Times New Roman"/>
          <w:b/>
          <w:bCs/>
          <w:sz w:val="36"/>
        </w:rPr>
        <w:t>ΕΣΠΕΡΙΝΟ Ε.Π.Α.Λ. ΘΗΡΑΣ</w:t>
      </w: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AB76FB" w:rsidRDefault="00AB76FB" w:rsidP="00AB76FB">
      <w:pPr>
        <w:pStyle w:val="Default"/>
        <w:rPr>
          <w:rFonts w:ascii="Times New Roman" w:hAnsi="Times New Roman" w:cs="Times New Roman"/>
          <w:bCs/>
          <w:sz w:val="32"/>
        </w:rPr>
      </w:pPr>
    </w:p>
    <w:p w:rsidR="001E4041" w:rsidRDefault="001E4041" w:rsidP="00AB76FB">
      <w:pPr>
        <w:pStyle w:val="Default"/>
        <w:rPr>
          <w:rFonts w:ascii="Times New Roman" w:hAnsi="Times New Roman" w:cs="Times New Roman"/>
          <w:bCs/>
          <w:sz w:val="32"/>
        </w:rPr>
      </w:pPr>
    </w:p>
    <w:p w:rsidR="007A58CE" w:rsidRDefault="007A58CE" w:rsidP="007A58CE">
      <w:pPr>
        <w:pStyle w:val="Default"/>
        <w:jc w:val="center"/>
        <w:rPr>
          <w:rFonts w:ascii="Times New Roman" w:hAnsi="Times New Roman" w:cs="Times New Roman"/>
          <w:b/>
          <w:noProof/>
          <w:sz w:val="36"/>
        </w:rPr>
      </w:pPr>
    </w:p>
    <w:p w:rsidR="007A58CE" w:rsidRDefault="007A58CE" w:rsidP="007A58CE">
      <w:pPr>
        <w:pStyle w:val="Default"/>
        <w:jc w:val="center"/>
        <w:rPr>
          <w:rFonts w:ascii="Times New Roman" w:hAnsi="Times New Roman" w:cs="Times New Roman"/>
          <w:b/>
          <w:noProof/>
          <w:sz w:val="36"/>
        </w:rPr>
      </w:pPr>
      <w:r w:rsidRPr="007A58CE">
        <w:rPr>
          <w:rFonts w:ascii="Times New Roman" w:hAnsi="Times New Roman" w:cs="Times New Roman"/>
          <w:b/>
          <w:noProof/>
          <w:sz w:val="36"/>
        </w:rPr>
        <w:t>ΕΙΣΑΓΩΓΗ</w:t>
      </w:r>
    </w:p>
    <w:p w:rsidR="007A58CE" w:rsidRPr="00194BEA" w:rsidRDefault="007A58CE" w:rsidP="007A58CE">
      <w:pPr>
        <w:pStyle w:val="Default"/>
        <w:jc w:val="center"/>
        <w:rPr>
          <w:rFonts w:ascii="Times New Roman" w:hAnsi="Times New Roman" w:cs="Times New Roman"/>
          <w:b/>
          <w:noProof/>
          <w:sz w:val="40"/>
        </w:rPr>
      </w:pPr>
    </w:p>
    <w:p w:rsidR="007A58CE" w:rsidRPr="00194BEA" w:rsidRDefault="001E4041" w:rsidP="00602AC9">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 xml:space="preserve">Η </w:t>
      </w:r>
      <w:r w:rsidR="00602AC9" w:rsidRPr="00194BEA">
        <w:rPr>
          <w:rFonts w:asciiTheme="minorHAnsi" w:hAnsiTheme="minorHAnsi" w:cstheme="minorBidi"/>
          <w:noProof/>
          <w:color w:val="auto"/>
          <w:sz w:val="28"/>
        </w:rPr>
        <w:t>παρούσα μελέτη αποτελεί τμήμα της εσωτερικ</w:t>
      </w:r>
      <w:r w:rsidR="007A58CE" w:rsidRPr="00194BEA">
        <w:rPr>
          <w:rFonts w:asciiTheme="minorHAnsi" w:hAnsiTheme="minorHAnsi" w:cstheme="minorBidi"/>
          <w:noProof/>
          <w:color w:val="auto"/>
          <w:sz w:val="28"/>
        </w:rPr>
        <w:t>ής αξιολόγησης του προγράμματος με τίτλο «</w:t>
      </w:r>
      <w:r w:rsidR="007A58CE" w:rsidRPr="00194BEA">
        <w:rPr>
          <w:rFonts w:asciiTheme="minorHAnsi" w:hAnsiTheme="minorHAnsi" w:cstheme="minorBidi"/>
          <w:i/>
          <w:noProof/>
          <w:color w:val="auto"/>
          <w:sz w:val="28"/>
        </w:rPr>
        <w:t>Καινοτόμες προσεγγίσεις για τη βελτίωση δεξιοτήτων μαθητών Εσπερινής Επαγγελματικής Εκπαίδευσης</w:t>
      </w:r>
      <w:r w:rsidR="007A58CE" w:rsidRPr="00194BEA">
        <w:rPr>
          <w:rFonts w:asciiTheme="minorHAnsi" w:hAnsiTheme="minorHAnsi" w:cstheme="minorBidi"/>
          <w:noProof/>
          <w:color w:val="auto"/>
          <w:sz w:val="28"/>
        </w:rPr>
        <w:t>»</w:t>
      </w:r>
      <w:r w:rsidR="00602AC9" w:rsidRPr="00194BEA">
        <w:rPr>
          <w:rFonts w:asciiTheme="minorHAnsi" w:hAnsiTheme="minorHAnsi" w:cstheme="minorBidi"/>
          <w:noProof/>
          <w:color w:val="auto"/>
          <w:sz w:val="28"/>
        </w:rPr>
        <w:t xml:space="preserve"> εστιάζοντας στην ανάπτυξη και τον επαναπροσδιορισμό όλων των συντελεστών και των παραγόντων, τόσο στο σχεδιασμό-οργάνωση όσο και στην υλοποίηση του. </w:t>
      </w:r>
    </w:p>
    <w:p w:rsidR="007A58CE" w:rsidRPr="00194BEA" w:rsidRDefault="007A58CE" w:rsidP="00602AC9">
      <w:pPr>
        <w:pStyle w:val="Default"/>
        <w:jc w:val="both"/>
        <w:rPr>
          <w:rFonts w:asciiTheme="minorHAnsi" w:hAnsiTheme="minorHAnsi" w:cstheme="minorBidi"/>
          <w:noProof/>
          <w:color w:val="auto"/>
          <w:sz w:val="28"/>
        </w:rPr>
      </w:pPr>
    </w:p>
    <w:p w:rsidR="007A58CE" w:rsidRPr="00194BEA" w:rsidRDefault="00602AC9" w:rsidP="00602AC9">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Η παρούσα αξιολόγηση πραγματοποιήθηκε διαμέσου ερωτηματολογίων που δόθηκαν σ</w:t>
      </w:r>
      <w:r w:rsidR="007A58CE" w:rsidRPr="00194BEA">
        <w:rPr>
          <w:rFonts w:asciiTheme="minorHAnsi" w:hAnsiTheme="minorHAnsi" w:cstheme="minorBidi"/>
          <w:noProof/>
          <w:color w:val="auto"/>
          <w:sz w:val="28"/>
        </w:rPr>
        <w:t>τους δεκαοχτώ (18)</w:t>
      </w:r>
      <w:r w:rsidRPr="00194BEA">
        <w:rPr>
          <w:rFonts w:asciiTheme="minorHAnsi" w:hAnsiTheme="minorHAnsi" w:cstheme="minorBidi"/>
          <w:noProof/>
          <w:color w:val="auto"/>
          <w:sz w:val="28"/>
        </w:rPr>
        <w:t xml:space="preserve"> συμμετέχοντες-καταρτιζομένους, τα οποία διαχωρίστηκαν </w:t>
      </w:r>
      <w:r w:rsidR="007A58CE" w:rsidRPr="00194BEA">
        <w:rPr>
          <w:rFonts w:asciiTheme="minorHAnsi" w:hAnsiTheme="minorHAnsi" w:cstheme="minorBidi"/>
          <w:noProof/>
          <w:color w:val="auto"/>
          <w:sz w:val="28"/>
        </w:rPr>
        <w:t>τρεις βασικούς τομείς. Συγκεκριμένα:</w:t>
      </w:r>
    </w:p>
    <w:p w:rsidR="007A58CE" w:rsidRPr="00194BEA" w:rsidRDefault="007A58CE" w:rsidP="00602AC9">
      <w:pPr>
        <w:pStyle w:val="Default"/>
        <w:jc w:val="both"/>
        <w:rPr>
          <w:rFonts w:asciiTheme="minorHAnsi" w:hAnsiTheme="minorHAnsi" w:cstheme="minorBidi"/>
          <w:noProof/>
          <w:color w:val="auto"/>
          <w:sz w:val="28"/>
        </w:rPr>
      </w:pPr>
    </w:p>
    <w:p w:rsidR="007A58CE" w:rsidRPr="00194BEA" w:rsidRDefault="007A58CE" w:rsidP="00602AC9">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 xml:space="preserve">-Α΄ Μέρος: Δημογραφικά στοιχεία </w:t>
      </w:r>
    </w:p>
    <w:p w:rsidR="007A58CE" w:rsidRPr="00194BEA" w:rsidRDefault="007A58CE" w:rsidP="00602AC9">
      <w:pPr>
        <w:pStyle w:val="Default"/>
        <w:jc w:val="both"/>
        <w:rPr>
          <w:rFonts w:asciiTheme="minorHAnsi" w:hAnsiTheme="minorHAnsi" w:cstheme="minorBidi"/>
          <w:noProof/>
          <w:color w:val="auto"/>
          <w:sz w:val="28"/>
        </w:rPr>
      </w:pPr>
    </w:p>
    <w:p w:rsidR="00AB76FB" w:rsidRPr="00194BEA" w:rsidRDefault="007A58CE" w:rsidP="00602AC9">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 xml:space="preserve">-Β΄ Μέρος: Κύριο μέρος </w:t>
      </w:r>
    </w:p>
    <w:p w:rsidR="007A58CE" w:rsidRPr="00194BEA" w:rsidRDefault="007A58CE" w:rsidP="007A58CE">
      <w:pPr>
        <w:pStyle w:val="Default"/>
        <w:numPr>
          <w:ilvl w:val="0"/>
          <w:numId w:val="1"/>
        </w:numPr>
        <w:jc w:val="both"/>
        <w:rPr>
          <w:rFonts w:asciiTheme="minorHAnsi" w:hAnsiTheme="minorHAnsi" w:cstheme="minorBidi"/>
          <w:noProof/>
          <w:color w:val="auto"/>
          <w:sz w:val="28"/>
        </w:rPr>
      </w:pPr>
      <w:r w:rsidRPr="00194BEA">
        <w:rPr>
          <w:rFonts w:asciiTheme="minorHAnsi" w:hAnsiTheme="minorHAnsi" w:cstheme="minorBidi"/>
          <w:noProof/>
          <w:color w:val="auto"/>
          <w:sz w:val="28"/>
        </w:rPr>
        <w:t>άξονας Α΄Σχεδιασμός -Οργάνωση</w:t>
      </w:r>
    </w:p>
    <w:p w:rsidR="007A58CE" w:rsidRPr="00194BEA" w:rsidRDefault="007A58CE" w:rsidP="007A58CE">
      <w:pPr>
        <w:pStyle w:val="Default"/>
        <w:numPr>
          <w:ilvl w:val="0"/>
          <w:numId w:val="1"/>
        </w:numPr>
        <w:jc w:val="both"/>
        <w:rPr>
          <w:rFonts w:asciiTheme="minorHAnsi" w:hAnsiTheme="minorHAnsi" w:cstheme="minorBidi"/>
          <w:noProof/>
          <w:color w:val="auto"/>
          <w:sz w:val="28"/>
        </w:rPr>
      </w:pPr>
      <w:r w:rsidRPr="00194BEA">
        <w:rPr>
          <w:rFonts w:asciiTheme="minorHAnsi" w:hAnsiTheme="minorHAnsi" w:cstheme="minorBidi"/>
          <w:noProof/>
          <w:color w:val="auto"/>
          <w:sz w:val="28"/>
        </w:rPr>
        <w:t>άξονας Β΄Υλοποίηση</w:t>
      </w:r>
    </w:p>
    <w:p w:rsidR="007A58CE" w:rsidRPr="00194BEA" w:rsidRDefault="007A58CE" w:rsidP="007A58CE">
      <w:pPr>
        <w:pStyle w:val="Default"/>
        <w:numPr>
          <w:ilvl w:val="0"/>
          <w:numId w:val="1"/>
        </w:numPr>
        <w:jc w:val="both"/>
        <w:rPr>
          <w:rFonts w:asciiTheme="minorHAnsi" w:hAnsiTheme="minorHAnsi" w:cstheme="minorBidi"/>
          <w:noProof/>
          <w:color w:val="auto"/>
          <w:sz w:val="28"/>
        </w:rPr>
      </w:pPr>
      <w:r w:rsidRPr="00194BEA">
        <w:rPr>
          <w:rFonts w:asciiTheme="minorHAnsi" w:hAnsiTheme="minorHAnsi" w:cstheme="minorBidi"/>
          <w:noProof/>
          <w:color w:val="auto"/>
          <w:sz w:val="28"/>
        </w:rPr>
        <w:t>άξονας Γ' Οργανισμός Υποδοχής</w:t>
      </w:r>
    </w:p>
    <w:p w:rsidR="007A58CE" w:rsidRPr="00194BEA" w:rsidRDefault="007A58CE" w:rsidP="007A58CE">
      <w:pPr>
        <w:pStyle w:val="Default"/>
        <w:ind w:left="720"/>
        <w:jc w:val="both"/>
        <w:rPr>
          <w:rFonts w:asciiTheme="minorHAnsi" w:hAnsiTheme="minorHAnsi" w:cstheme="minorBidi"/>
          <w:noProof/>
          <w:color w:val="auto"/>
          <w:sz w:val="28"/>
        </w:rPr>
      </w:pPr>
    </w:p>
    <w:p w:rsidR="007A58CE" w:rsidRPr="00194BEA" w:rsidRDefault="007A58CE" w:rsidP="00602AC9">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 xml:space="preserve">-Γ' Μέρος: </w:t>
      </w:r>
      <w:r w:rsidR="00E66BD7">
        <w:rPr>
          <w:rFonts w:asciiTheme="minorHAnsi" w:hAnsiTheme="minorHAnsi" w:cstheme="minorBidi"/>
          <w:noProof/>
          <w:color w:val="auto"/>
          <w:sz w:val="28"/>
        </w:rPr>
        <w:t>Συμπεράσματα</w:t>
      </w:r>
    </w:p>
    <w:p w:rsidR="005B3F0D" w:rsidRPr="00194BEA" w:rsidRDefault="005B3F0D" w:rsidP="00AB76FB">
      <w:pPr>
        <w:pStyle w:val="Default"/>
        <w:rPr>
          <w:rFonts w:ascii="Times New Roman" w:hAnsi="Times New Roman" w:cs="Times New Roman"/>
          <w:bCs/>
          <w:sz w:val="36"/>
        </w:rPr>
      </w:pPr>
    </w:p>
    <w:p w:rsidR="00AB76FB" w:rsidRPr="00194BEA" w:rsidRDefault="006E4EBF" w:rsidP="006E4EBF">
      <w:pPr>
        <w:pStyle w:val="Default"/>
        <w:jc w:val="both"/>
        <w:rPr>
          <w:rFonts w:asciiTheme="minorHAnsi" w:hAnsiTheme="minorHAnsi" w:cstheme="minorBidi"/>
          <w:noProof/>
          <w:color w:val="auto"/>
          <w:sz w:val="28"/>
        </w:rPr>
      </w:pPr>
      <w:r w:rsidRPr="00194BEA">
        <w:rPr>
          <w:rFonts w:asciiTheme="minorHAnsi" w:hAnsiTheme="minorHAnsi" w:cstheme="minorBidi"/>
          <w:noProof/>
          <w:color w:val="auto"/>
          <w:sz w:val="28"/>
        </w:rPr>
        <w:t>Σκοπός της αξιολόγησης αποτέλεσε να συμβάλλουν στην ποιοτική αναβάθμιση του σχολείου και του εκπαιδευτικού έργου της σχολικής μονάδας στο σχεδιασμό-οργάνωση-υλοποίηση των προγραμμάτων κινητικότητας. Παράλληλα, πραγματοποιήθηκε καταγραφή και αξιολόγηση των αρχικών και τελικών δεξιοτήτων. γνώσεων και στάσεων τ</w:t>
      </w:r>
      <w:r w:rsidR="00895748" w:rsidRPr="00194BEA">
        <w:rPr>
          <w:rFonts w:asciiTheme="minorHAnsi" w:hAnsiTheme="minorHAnsi" w:cstheme="minorBidi"/>
          <w:noProof/>
          <w:color w:val="auto"/>
          <w:sz w:val="28"/>
        </w:rPr>
        <w:t>ων συμμετεχόντων-καταρτιζομένων, ενώ αξιολογήθηκε και η ποιότητα του φορέα υποδοχής.</w:t>
      </w:r>
    </w:p>
    <w:p w:rsidR="006E4EBF" w:rsidRPr="00194BEA" w:rsidRDefault="006E4EBF" w:rsidP="00AB76FB">
      <w:pPr>
        <w:pStyle w:val="Default"/>
        <w:rPr>
          <w:rFonts w:ascii="Times New Roman" w:hAnsi="Times New Roman" w:cs="Times New Roman"/>
          <w:noProof/>
          <w:sz w:val="36"/>
        </w:rPr>
      </w:pPr>
    </w:p>
    <w:p w:rsidR="007A58CE" w:rsidRPr="00194BEA" w:rsidRDefault="006E4EBF" w:rsidP="00AB76FB">
      <w:pPr>
        <w:pStyle w:val="Default"/>
        <w:rPr>
          <w:rFonts w:asciiTheme="minorHAnsi" w:hAnsiTheme="minorHAnsi" w:cstheme="minorBidi"/>
          <w:noProof/>
          <w:color w:val="auto"/>
          <w:sz w:val="28"/>
        </w:rPr>
      </w:pPr>
      <w:r w:rsidRPr="00194BEA">
        <w:rPr>
          <w:rFonts w:asciiTheme="minorHAnsi" w:hAnsiTheme="minorHAnsi" w:cstheme="minorBidi"/>
          <w:noProof/>
          <w:color w:val="auto"/>
          <w:sz w:val="28"/>
        </w:rPr>
        <w:t>Οι βασικοί αποδέκτες της παρούσας αξιολόγησης θα είναι το Ίδρυμα Κρατικών Αποτροφιών και εκπαιδευτικές τοπικές, περιφερειακές και εθνικές αρχές.</w:t>
      </w:r>
    </w:p>
    <w:p w:rsidR="007A58CE" w:rsidRDefault="007A58CE" w:rsidP="00AB76FB">
      <w:pPr>
        <w:pStyle w:val="Default"/>
        <w:rPr>
          <w:rFonts w:ascii="Times New Roman" w:hAnsi="Times New Roman" w:cs="Times New Roman"/>
          <w:noProof/>
          <w:sz w:val="32"/>
        </w:rPr>
      </w:pPr>
    </w:p>
    <w:p w:rsidR="007A58CE" w:rsidRDefault="007A58CE" w:rsidP="00AB76FB">
      <w:pPr>
        <w:pStyle w:val="Default"/>
        <w:rPr>
          <w:rFonts w:ascii="Times New Roman" w:hAnsi="Times New Roman" w:cs="Times New Roman"/>
          <w:noProof/>
          <w:sz w:val="32"/>
        </w:rPr>
      </w:pPr>
    </w:p>
    <w:p w:rsidR="007A58CE" w:rsidRDefault="007A58CE" w:rsidP="00AB76FB">
      <w:pPr>
        <w:pStyle w:val="Default"/>
        <w:rPr>
          <w:rFonts w:ascii="Times New Roman" w:hAnsi="Times New Roman" w:cs="Times New Roman"/>
          <w:noProof/>
          <w:sz w:val="32"/>
        </w:rPr>
      </w:pPr>
    </w:p>
    <w:p w:rsidR="007A58CE" w:rsidRDefault="007A58CE" w:rsidP="00AB76FB">
      <w:pPr>
        <w:pStyle w:val="Default"/>
        <w:rPr>
          <w:rFonts w:ascii="Times New Roman" w:hAnsi="Times New Roman" w:cs="Times New Roman"/>
          <w:noProof/>
          <w:sz w:val="32"/>
        </w:rPr>
      </w:pPr>
    </w:p>
    <w:p w:rsidR="007A58CE" w:rsidRPr="00AB76FB" w:rsidRDefault="007A58CE" w:rsidP="00AB76FB">
      <w:pPr>
        <w:pStyle w:val="Default"/>
        <w:rPr>
          <w:rFonts w:ascii="Times New Roman" w:hAnsi="Times New Roman" w:cs="Times New Roman"/>
          <w:noProof/>
          <w:sz w:val="32"/>
        </w:rPr>
      </w:pPr>
    </w:p>
    <w:p w:rsidR="00AB76FB" w:rsidRPr="00B528D4" w:rsidRDefault="00ED7C92" w:rsidP="00B528D4">
      <w:pPr>
        <w:pStyle w:val="Default"/>
        <w:rPr>
          <w:rFonts w:ascii="Times New Roman" w:hAnsi="Times New Roman" w:cs="Times New Roman"/>
          <w:noProof/>
          <w:color w:val="FF0000"/>
          <w:sz w:val="40"/>
        </w:rPr>
      </w:pPr>
      <w:r w:rsidRPr="00B528D4">
        <w:rPr>
          <w:rFonts w:ascii="Times New Roman" w:hAnsi="Times New Roman" w:cs="Times New Roman"/>
          <w:b/>
          <w:noProof/>
          <w:color w:val="FF0000"/>
          <w:sz w:val="40"/>
        </w:rPr>
        <w:t>ΔΗΜΟΓΡΑΦΙΚΑ ΣΤΟΙΧΕΙΑ</w:t>
      </w:r>
    </w:p>
    <w:p w:rsidR="00AB76FB" w:rsidRDefault="00AB76FB">
      <w:pPr>
        <w:rPr>
          <w:noProof/>
          <w:lang w:val="el-GR"/>
        </w:rPr>
      </w:pPr>
    </w:p>
    <w:p w:rsidR="0052687A" w:rsidRDefault="00F60ACD" w:rsidP="005B3F0D">
      <w:pPr>
        <w:jc w:val="center"/>
        <w:rPr>
          <w:noProof/>
          <w:lang w:val="el-GR"/>
        </w:rPr>
      </w:pPr>
      <w:r>
        <w:rPr>
          <w:noProof/>
          <w:lang w:val="el-GR" w:eastAsia="el-GR"/>
        </w:rPr>
        <w:drawing>
          <wp:inline distT="0" distB="0" distL="0" distR="0">
            <wp:extent cx="283845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3F0D" w:rsidRPr="00194BEA" w:rsidRDefault="005B3F0D" w:rsidP="005B3F0D">
      <w:pPr>
        <w:rPr>
          <w:noProof/>
          <w:sz w:val="24"/>
          <w:lang w:val="el-GR"/>
        </w:rPr>
      </w:pPr>
      <w:r w:rsidRPr="00194BEA">
        <w:rPr>
          <w:noProof/>
          <w:sz w:val="24"/>
          <w:lang w:val="el-GR"/>
        </w:rPr>
        <w:t>Το σύνολο των συμμετεχόντων ήτανε δεκαοχτώ (18), εκ των οποίων δεκατέσσερις (14) γυναίκες και τέσσερις (4) άνδρες.</w:t>
      </w:r>
    </w:p>
    <w:p w:rsidR="00F60ACD" w:rsidRDefault="00BD691C" w:rsidP="00AB76FB">
      <w:pPr>
        <w:jc w:val="center"/>
        <w:rPr>
          <w:noProof/>
          <w:lang w:val="el-GR"/>
        </w:rPr>
      </w:pPr>
      <w:r>
        <w:rPr>
          <w:noProof/>
          <w:lang w:val="el-GR" w:eastAsia="el-GR"/>
        </w:rPr>
        <w:drawing>
          <wp:inline distT="0" distB="0" distL="0" distR="0">
            <wp:extent cx="2971800" cy="2362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3F0D" w:rsidRPr="00194BEA" w:rsidRDefault="00895748" w:rsidP="005B3F0D">
      <w:pPr>
        <w:rPr>
          <w:noProof/>
          <w:sz w:val="24"/>
          <w:lang w:val="el-GR"/>
        </w:rPr>
      </w:pPr>
      <w:r w:rsidRPr="00194BEA">
        <w:rPr>
          <w:noProof/>
          <w:sz w:val="24"/>
          <w:lang w:val="el-GR"/>
        </w:rPr>
        <w:t>Κατά το διαχωρισμό των ηλικιακών ομάδων οι περισσότεροι συμμετέχοντες ήτανε άνω των 30 ετών, ενώ μόνο ένας (1) συμμετέχοντας ήτανε ανήλικος.</w:t>
      </w:r>
    </w:p>
    <w:p w:rsidR="005B3F0D" w:rsidRDefault="005B3F0D" w:rsidP="00AB76FB">
      <w:pPr>
        <w:jc w:val="center"/>
        <w:rPr>
          <w:noProof/>
          <w:lang w:val="el-GR"/>
        </w:rPr>
      </w:pPr>
    </w:p>
    <w:p w:rsidR="005B3F0D" w:rsidRDefault="005B3F0D" w:rsidP="00AB76FB">
      <w:pPr>
        <w:jc w:val="center"/>
        <w:rPr>
          <w:noProof/>
          <w:lang w:val="el-GR"/>
        </w:rPr>
      </w:pPr>
    </w:p>
    <w:p w:rsidR="00DA20AB" w:rsidRDefault="00DA20AB" w:rsidP="00AB76FB">
      <w:pPr>
        <w:jc w:val="center"/>
        <w:rPr>
          <w:noProof/>
          <w:lang w:val="el-GR"/>
        </w:rPr>
      </w:pPr>
    </w:p>
    <w:p w:rsidR="007A58CE" w:rsidRDefault="007A58CE" w:rsidP="00AB76FB">
      <w:pPr>
        <w:jc w:val="center"/>
        <w:rPr>
          <w:noProof/>
          <w:lang w:val="el-GR"/>
        </w:rPr>
      </w:pPr>
    </w:p>
    <w:p w:rsidR="005B3F0D" w:rsidRDefault="005B3F0D" w:rsidP="00AB76FB">
      <w:pPr>
        <w:jc w:val="center"/>
        <w:rPr>
          <w:noProof/>
          <w:lang w:val="el-GR"/>
        </w:rPr>
      </w:pPr>
    </w:p>
    <w:p w:rsidR="005B3F0D" w:rsidRDefault="005B3F0D" w:rsidP="00AB76FB">
      <w:pPr>
        <w:jc w:val="center"/>
        <w:rPr>
          <w:noProof/>
          <w:lang w:val="el-GR"/>
        </w:rPr>
      </w:pPr>
    </w:p>
    <w:p w:rsidR="00895748" w:rsidRDefault="00BD691C">
      <w:pPr>
        <w:rPr>
          <w:lang w:val="el-GR"/>
        </w:rPr>
      </w:pPr>
      <w:r>
        <w:rPr>
          <w:noProof/>
          <w:lang w:val="el-GR" w:eastAsia="el-GR"/>
        </w:rPr>
        <w:drawing>
          <wp:anchor distT="0" distB="0" distL="114300" distR="114300" simplePos="0" relativeHeight="251658240" behindDoc="0" locked="0" layoutInCell="1" allowOverlap="1">
            <wp:simplePos x="0" y="0"/>
            <wp:positionH relativeFrom="column">
              <wp:posOffset>1619250</wp:posOffset>
            </wp:positionH>
            <wp:positionV relativeFrom="paragraph">
              <wp:align>top</wp:align>
            </wp:positionV>
            <wp:extent cx="2838450" cy="2352675"/>
            <wp:effectExtent l="19050" t="0" r="1905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95748">
        <w:rPr>
          <w:lang w:val="el-GR"/>
        </w:rPr>
        <w:br w:type="textWrapping" w:clear="all"/>
      </w:r>
    </w:p>
    <w:p w:rsidR="00BD691C" w:rsidRPr="00DC20CE" w:rsidRDefault="00895748">
      <w:pPr>
        <w:rPr>
          <w:noProof/>
          <w:sz w:val="24"/>
          <w:lang w:val="el-GR"/>
        </w:rPr>
      </w:pPr>
      <w:r w:rsidRPr="00194BEA">
        <w:rPr>
          <w:noProof/>
          <w:sz w:val="24"/>
          <w:lang w:val="el-GR"/>
        </w:rPr>
        <w:t xml:space="preserve">Σχετικά με την οικογενειακή κατάσταση προέκυψε ότι </w:t>
      </w:r>
      <w:r w:rsidR="00E66BD7">
        <w:rPr>
          <w:noProof/>
          <w:sz w:val="24"/>
          <w:lang w:val="el-GR"/>
        </w:rPr>
        <w:t>7 συμμετέχοντες</w:t>
      </w:r>
      <w:r w:rsidR="00DC20CE">
        <w:rPr>
          <w:noProof/>
          <w:sz w:val="24"/>
          <w:lang w:val="el-GR"/>
        </w:rPr>
        <w:t xml:space="preserve"> ήτανε έγγαμοι, 7 άγαμοι. </w:t>
      </w:r>
    </w:p>
    <w:p w:rsidR="00BD691C" w:rsidRDefault="00BD691C" w:rsidP="00AB76FB">
      <w:pPr>
        <w:jc w:val="center"/>
        <w:rPr>
          <w:lang w:val="el-GR"/>
        </w:rPr>
      </w:pPr>
      <w:r>
        <w:rPr>
          <w:noProof/>
          <w:lang w:val="el-GR" w:eastAsia="el-GR"/>
        </w:rPr>
        <w:drawing>
          <wp:inline distT="0" distB="0" distL="0" distR="0">
            <wp:extent cx="3371850" cy="27622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691C" w:rsidRDefault="00DC20CE" w:rsidP="00DC20CE">
      <w:pPr>
        <w:rPr>
          <w:b/>
          <w:sz w:val="24"/>
          <w:lang w:val="el-GR"/>
        </w:rPr>
      </w:pPr>
      <w:r>
        <w:rPr>
          <w:noProof/>
          <w:sz w:val="24"/>
          <w:lang w:val="el-GR"/>
        </w:rPr>
        <w:t xml:space="preserve">Όπως φαίνεται, </w:t>
      </w:r>
      <w:r w:rsidRPr="00DC20CE">
        <w:rPr>
          <w:noProof/>
          <w:sz w:val="24"/>
          <w:lang w:val="el-GR"/>
        </w:rPr>
        <w:t>11</w:t>
      </w:r>
      <w:r>
        <w:rPr>
          <w:noProof/>
          <w:sz w:val="24"/>
          <w:lang w:val="el-GR"/>
        </w:rPr>
        <w:t xml:space="preserve"> συμμετέχοντες</w:t>
      </w:r>
      <w:r w:rsidRPr="00DC20CE">
        <w:rPr>
          <w:noProof/>
          <w:sz w:val="24"/>
          <w:lang w:val="el-GR"/>
        </w:rPr>
        <w:t xml:space="preserve"> </w:t>
      </w:r>
      <w:r>
        <w:rPr>
          <w:noProof/>
          <w:sz w:val="24"/>
          <w:lang w:val="el-GR"/>
        </w:rPr>
        <w:t>διατηρούν θέσεις πλήρους ή μερικής απασχόλησης, ενώ 4 είναι ελεύθεροι επαγγελματίες.</w:t>
      </w:r>
    </w:p>
    <w:p w:rsidR="005B3F0D" w:rsidRDefault="005B3F0D" w:rsidP="00AB76FB">
      <w:pPr>
        <w:jc w:val="center"/>
        <w:rPr>
          <w:b/>
          <w:sz w:val="24"/>
          <w:lang w:val="el-GR"/>
        </w:rPr>
      </w:pPr>
    </w:p>
    <w:p w:rsidR="005B3F0D" w:rsidRDefault="005B3F0D" w:rsidP="00AB76FB">
      <w:pPr>
        <w:jc w:val="center"/>
        <w:rPr>
          <w:b/>
          <w:sz w:val="24"/>
          <w:lang w:val="el-GR"/>
        </w:rPr>
      </w:pPr>
    </w:p>
    <w:p w:rsidR="00BD691C" w:rsidRPr="00194BEA" w:rsidRDefault="00AB76FB" w:rsidP="00194BEA">
      <w:pPr>
        <w:rPr>
          <w:b/>
          <w:color w:val="FF0000"/>
          <w:sz w:val="40"/>
          <w:lang w:val="el-GR"/>
        </w:rPr>
      </w:pPr>
      <w:r w:rsidRPr="00194BEA">
        <w:rPr>
          <w:b/>
          <w:color w:val="FF0000"/>
          <w:sz w:val="40"/>
          <w:lang w:val="el-GR"/>
        </w:rPr>
        <w:lastRenderedPageBreak/>
        <w:t>ΑΞΟΝΑΣ Α' ΣΧΕΔΙΑΣΜΟΣ - ΟΡΓΑΝΩΣΗ</w:t>
      </w:r>
    </w:p>
    <w:p w:rsidR="001E4041" w:rsidRDefault="001E4041" w:rsidP="00411B29">
      <w:pPr>
        <w:rPr>
          <w:b/>
          <w:sz w:val="24"/>
          <w:lang w:val="el-GR"/>
        </w:rPr>
      </w:pPr>
    </w:p>
    <w:p w:rsidR="00DC20CE" w:rsidRDefault="00957A1D" w:rsidP="00DC20CE">
      <w:pPr>
        <w:keepNext/>
        <w:jc w:val="center"/>
      </w:pPr>
      <w:r>
        <w:rPr>
          <w:b/>
          <w:noProof/>
          <w:sz w:val="24"/>
          <w:lang w:val="el-GR" w:eastAsia="el-GR"/>
        </w:rPr>
        <w:drawing>
          <wp:inline distT="0" distB="0" distL="0" distR="0">
            <wp:extent cx="4533900" cy="26479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4041" w:rsidRPr="00DC20CE" w:rsidRDefault="00DC20CE" w:rsidP="00DC20CE">
      <w:pPr>
        <w:pStyle w:val="a6"/>
        <w:jc w:val="center"/>
        <w:rPr>
          <w:b w:val="0"/>
          <w:sz w:val="28"/>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1</w:t>
      </w:r>
      <w:r w:rsidR="00624802" w:rsidRPr="00DC20CE">
        <w:rPr>
          <w:sz w:val="20"/>
        </w:rPr>
        <w:fldChar w:fldCharType="end"/>
      </w:r>
    </w:p>
    <w:p w:rsidR="001E4041" w:rsidRDefault="001E4041" w:rsidP="00AB76FB">
      <w:pPr>
        <w:jc w:val="center"/>
        <w:rPr>
          <w:b/>
          <w:sz w:val="24"/>
          <w:lang w:val="el-GR"/>
        </w:rPr>
      </w:pPr>
    </w:p>
    <w:p w:rsidR="00DC20CE" w:rsidRDefault="00DC20CE" w:rsidP="00DC20CE">
      <w:pPr>
        <w:keepNext/>
        <w:jc w:val="center"/>
      </w:pPr>
      <w:r>
        <w:rPr>
          <w:b/>
          <w:noProof/>
          <w:sz w:val="24"/>
          <w:lang w:val="el-GR" w:eastAsia="el-GR"/>
        </w:rPr>
        <w:drawing>
          <wp:inline distT="0" distB="0" distL="0" distR="0">
            <wp:extent cx="4362450" cy="2695575"/>
            <wp:effectExtent l="19050" t="0" r="19050" b="0"/>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4041" w:rsidRPr="00DC20CE" w:rsidRDefault="00DC20CE" w:rsidP="00DC20CE">
      <w:pPr>
        <w:pStyle w:val="a6"/>
        <w:jc w:val="center"/>
        <w:rPr>
          <w:b w:val="0"/>
          <w:sz w:val="28"/>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2</w:t>
      </w:r>
      <w:r w:rsidR="00624802" w:rsidRPr="00DC20CE">
        <w:rPr>
          <w:sz w:val="20"/>
        </w:rPr>
        <w:fldChar w:fldCharType="end"/>
      </w:r>
    </w:p>
    <w:p w:rsidR="001E4041" w:rsidRDefault="001E4041" w:rsidP="00AB76FB">
      <w:pPr>
        <w:jc w:val="center"/>
        <w:rPr>
          <w:b/>
          <w:sz w:val="24"/>
          <w:lang w:val="el-GR"/>
        </w:rPr>
      </w:pPr>
    </w:p>
    <w:p w:rsidR="00DC20CE" w:rsidRDefault="00DC20CE" w:rsidP="00AB76FB">
      <w:pPr>
        <w:jc w:val="center"/>
        <w:rPr>
          <w:b/>
          <w:sz w:val="24"/>
          <w:lang w:val="el-GR"/>
        </w:rPr>
      </w:pPr>
    </w:p>
    <w:p w:rsidR="00DC20CE" w:rsidRDefault="00DC20CE" w:rsidP="00AB76FB">
      <w:pPr>
        <w:jc w:val="center"/>
        <w:rPr>
          <w:b/>
          <w:sz w:val="24"/>
          <w:lang w:val="el-GR"/>
        </w:rPr>
      </w:pPr>
    </w:p>
    <w:p w:rsidR="00DC20CE" w:rsidRDefault="00DC20CE" w:rsidP="00AB76FB">
      <w:pPr>
        <w:jc w:val="center"/>
        <w:rPr>
          <w:b/>
          <w:sz w:val="24"/>
          <w:lang w:val="el-GR"/>
        </w:rPr>
      </w:pPr>
    </w:p>
    <w:p w:rsidR="00DC20CE" w:rsidRDefault="00411B29" w:rsidP="00DC20CE">
      <w:pPr>
        <w:keepNext/>
        <w:jc w:val="center"/>
      </w:pPr>
      <w:r>
        <w:rPr>
          <w:b/>
          <w:noProof/>
          <w:sz w:val="24"/>
          <w:lang w:val="el-GR" w:eastAsia="el-GR"/>
        </w:rPr>
        <w:drawing>
          <wp:inline distT="0" distB="0" distL="0" distR="0">
            <wp:extent cx="4533900" cy="256222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041" w:rsidRPr="00DC20CE" w:rsidRDefault="00DC20CE" w:rsidP="00DC20CE">
      <w:pPr>
        <w:pStyle w:val="a6"/>
        <w:jc w:val="center"/>
        <w:rPr>
          <w:b w:val="0"/>
          <w:sz w:val="28"/>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3</w:t>
      </w:r>
      <w:r w:rsidR="00624802" w:rsidRPr="00DC20CE">
        <w:rPr>
          <w:sz w:val="20"/>
        </w:rPr>
        <w:fldChar w:fldCharType="end"/>
      </w:r>
    </w:p>
    <w:p w:rsidR="001E4041" w:rsidRDefault="001E4041" w:rsidP="00AB76FB">
      <w:pPr>
        <w:jc w:val="center"/>
        <w:rPr>
          <w:b/>
          <w:sz w:val="24"/>
          <w:lang w:val="el-GR"/>
        </w:rPr>
      </w:pPr>
    </w:p>
    <w:p w:rsidR="00DC20CE" w:rsidRDefault="00411B29" w:rsidP="00DC20CE">
      <w:pPr>
        <w:keepNext/>
        <w:jc w:val="center"/>
      </w:pPr>
      <w:r>
        <w:rPr>
          <w:b/>
          <w:noProof/>
          <w:sz w:val="24"/>
          <w:lang w:val="el-GR" w:eastAsia="el-GR"/>
        </w:rPr>
        <w:drawing>
          <wp:inline distT="0" distB="0" distL="0" distR="0">
            <wp:extent cx="4448175" cy="257175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4041" w:rsidRPr="00DC20CE" w:rsidRDefault="00DC20CE" w:rsidP="00DC20CE">
      <w:pPr>
        <w:pStyle w:val="a6"/>
        <w:jc w:val="center"/>
        <w:rPr>
          <w:b w:val="0"/>
          <w:sz w:val="28"/>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4</w:t>
      </w:r>
      <w:r w:rsidR="00624802" w:rsidRPr="00DC20CE">
        <w:rPr>
          <w:sz w:val="20"/>
        </w:rPr>
        <w:fldChar w:fldCharType="end"/>
      </w:r>
    </w:p>
    <w:p w:rsidR="001E4041" w:rsidRDefault="001E4041" w:rsidP="00AB76FB">
      <w:pPr>
        <w:jc w:val="center"/>
        <w:rPr>
          <w:b/>
          <w:sz w:val="24"/>
          <w:lang w:val="el-GR"/>
        </w:rPr>
      </w:pPr>
    </w:p>
    <w:p w:rsidR="00DC20CE" w:rsidRDefault="00DC20CE" w:rsidP="00AB76FB">
      <w:pPr>
        <w:jc w:val="center"/>
        <w:rPr>
          <w:b/>
          <w:sz w:val="24"/>
          <w:lang w:val="el-GR"/>
        </w:rPr>
      </w:pPr>
    </w:p>
    <w:p w:rsidR="00DA20AB" w:rsidRDefault="00DA20AB" w:rsidP="00AB76FB">
      <w:pPr>
        <w:jc w:val="center"/>
        <w:rPr>
          <w:b/>
          <w:sz w:val="24"/>
          <w:lang w:val="el-GR"/>
        </w:rPr>
      </w:pPr>
    </w:p>
    <w:p w:rsidR="00DC20CE" w:rsidRDefault="00DC20CE" w:rsidP="00AB76FB">
      <w:pPr>
        <w:jc w:val="center"/>
        <w:rPr>
          <w:b/>
          <w:sz w:val="24"/>
          <w:lang w:val="el-GR"/>
        </w:rPr>
      </w:pPr>
    </w:p>
    <w:p w:rsidR="00B528D4" w:rsidRDefault="00B528D4" w:rsidP="00AB76FB">
      <w:pPr>
        <w:jc w:val="center"/>
        <w:rPr>
          <w:b/>
          <w:sz w:val="24"/>
          <w:lang w:val="el-GR"/>
        </w:rPr>
      </w:pPr>
    </w:p>
    <w:p w:rsidR="00DC20CE" w:rsidRDefault="00411B29" w:rsidP="00DC20CE">
      <w:pPr>
        <w:keepNext/>
        <w:jc w:val="center"/>
      </w:pPr>
      <w:r>
        <w:rPr>
          <w:b/>
          <w:noProof/>
          <w:sz w:val="24"/>
          <w:lang w:val="el-GR" w:eastAsia="el-GR"/>
        </w:rPr>
        <w:drawing>
          <wp:inline distT="0" distB="0" distL="0" distR="0">
            <wp:extent cx="5114925" cy="2809875"/>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B29" w:rsidRPr="00DC20CE" w:rsidRDefault="00DC20CE" w:rsidP="00DC20CE">
      <w:pPr>
        <w:pStyle w:val="a6"/>
        <w:jc w:val="center"/>
        <w:rPr>
          <w:b w:val="0"/>
          <w:sz w:val="28"/>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5</w:t>
      </w:r>
      <w:r w:rsidR="00624802" w:rsidRPr="00DC20CE">
        <w:rPr>
          <w:sz w:val="20"/>
        </w:rPr>
        <w:fldChar w:fldCharType="end"/>
      </w:r>
    </w:p>
    <w:p w:rsidR="00411B29" w:rsidRDefault="00411B29" w:rsidP="00AB76FB">
      <w:pPr>
        <w:jc w:val="center"/>
        <w:rPr>
          <w:b/>
          <w:sz w:val="24"/>
          <w:lang w:val="el-GR"/>
        </w:rPr>
      </w:pPr>
    </w:p>
    <w:p w:rsidR="00411B29" w:rsidRDefault="00411B29" w:rsidP="00AB76FB">
      <w:pPr>
        <w:jc w:val="center"/>
        <w:rPr>
          <w:b/>
          <w:sz w:val="24"/>
          <w:lang w:val="el-GR"/>
        </w:rPr>
      </w:pPr>
    </w:p>
    <w:p w:rsidR="00DC20CE" w:rsidRDefault="00411B29" w:rsidP="00DC20CE">
      <w:pPr>
        <w:keepNext/>
        <w:jc w:val="center"/>
      </w:pPr>
      <w:r>
        <w:rPr>
          <w:b/>
          <w:noProof/>
          <w:sz w:val="24"/>
          <w:lang w:val="el-GR" w:eastAsia="el-GR"/>
        </w:rPr>
        <w:drawing>
          <wp:inline distT="0" distB="0" distL="0" distR="0">
            <wp:extent cx="4895850" cy="30480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1B29" w:rsidRPr="00DC20CE" w:rsidRDefault="00DC20CE" w:rsidP="00DC20CE">
      <w:pPr>
        <w:pStyle w:val="a6"/>
        <w:jc w:val="center"/>
        <w:rPr>
          <w:sz w:val="20"/>
          <w:lang w:val="el-GR"/>
        </w:rPr>
      </w:pPr>
      <w:r w:rsidRPr="00DC20CE">
        <w:rPr>
          <w:sz w:val="20"/>
        </w:rPr>
        <w:t xml:space="preserve">Figure </w:t>
      </w:r>
      <w:r w:rsidR="00624802" w:rsidRPr="00DC20CE">
        <w:rPr>
          <w:sz w:val="20"/>
        </w:rPr>
        <w:fldChar w:fldCharType="begin"/>
      </w:r>
      <w:r w:rsidRPr="00DC20CE">
        <w:rPr>
          <w:sz w:val="20"/>
        </w:rPr>
        <w:instrText xml:space="preserve"> SEQ Figure \* ARABIC </w:instrText>
      </w:r>
      <w:r w:rsidR="00624802" w:rsidRPr="00DC20CE">
        <w:rPr>
          <w:sz w:val="20"/>
        </w:rPr>
        <w:fldChar w:fldCharType="separate"/>
      </w:r>
      <w:r w:rsidR="00817D63">
        <w:rPr>
          <w:noProof/>
          <w:sz w:val="20"/>
        </w:rPr>
        <w:t>6</w:t>
      </w:r>
      <w:r w:rsidR="00624802" w:rsidRPr="00DC20CE">
        <w:rPr>
          <w:sz w:val="20"/>
        </w:rPr>
        <w:fldChar w:fldCharType="end"/>
      </w:r>
    </w:p>
    <w:p w:rsidR="00DC20CE" w:rsidRDefault="00DC20CE" w:rsidP="00DC20CE">
      <w:pPr>
        <w:rPr>
          <w:lang w:val="el-GR"/>
        </w:rPr>
      </w:pPr>
    </w:p>
    <w:p w:rsidR="00DC20CE" w:rsidRDefault="00DC20CE" w:rsidP="00DC20CE">
      <w:pPr>
        <w:rPr>
          <w:lang w:val="el-GR"/>
        </w:rPr>
      </w:pPr>
    </w:p>
    <w:p w:rsidR="00DC20CE" w:rsidRDefault="00411B29" w:rsidP="00DC20CE">
      <w:pPr>
        <w:keepNext/>
        <w:jc w:val="center"/>
      </w:pPr>
      <w:r>
        <w:rPr>
          <w:b/>
          <w:noProof/>
          <w:sz w:val="24"/>
          <w:lang w:val="el-GR" w:eastAsia="el-GR"/>
        </w:rPr>
        <w:drawing>
          <wp:inline distT="0" distB="0" distL="0" distR="0">
            <wp:extent cx="5029200" cy="28575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1B29" w:rsidRPr="00DC20CE" w:rsidRDefault="00DC20CE" w:rsidP="00DC20CE">
      <w:pPr>
        <w:pStyle w:val="a6"/>
        <w:jc w:val="center"/>
        <w:rPr>
          <w:b w:val="0"/>
          <w:sz w:val="28"/>
          <w:lang w:val="el-GR"/>
        </w:rPr>
      </w:pPr>
      <w:r w:rsidRPr="00DC20CE">
        <w:rPr>
          <w:sz w:val="20"/>
        </w:rPr>
        <w:t>Figure</w:t>
      </w:r>
      <w:r w:rsidRPr="00DA20AB">
        <w:rPr>
          <w:sz w:val="20"/>
          <w:lang w:val="el-GR"/>
        </w:rPr>
        <w:t xml:space="preserve"> </w:t>
      </w:r>
      <w:r w:rsidR="00624802" w:rsidRPr="00DC20CE">
        <w:rPr>
          <w:sz w:val="20"/>
        </w:rPr>
        <w:fldChar w:fldCharType="begin"/>
      </w:r>
      <w:r w:rsidRPr="00DA20AB">
        <w:rPr>
          <w:sz w:val="20"/>
          <w:lang w:val="el-GR"/>
        </w:rPr>
        <w:instrText xml:space="preserve"> </w:instrText>
      </w:r>
      <w:r w:rsidRPr="00DC20CE">
        <w:rPr>
          <w:sz w:val="20"/>
        </w:rPr>
        <w:instrText>SEQ</w:instrText>
      </w:r>
      <w:r w:rsidRPr="00DA20AB">
        <w:rPr>
          <w:sz w:val="20"/>
          <w:lang w:val="el-GR"/>
        </w:rPr>
        <w:instrText xml:space="preserve"> </w:instrText>
      </w:r>
      <w:r w:rsidRPr="00DC20CE">
        <w:rPr>
          <w:sz w:val="20"/>
        </w:rPr>
        <w:instrText>Figure</w:instrText>
      </w:r>
      <w:r w:rsidRPr="00DA20AB">
        <w:rPr>
          <w:sz w:val="20"/>
          <w:lang w:val="el-GR"/>
        </w:rPr>
        <w:instrText xml:space="preserve"> \* </w:instrText>
      </w:r>
      <w:r w:rsidRPr="00DC20CE">
        <w:rPr>
          <w:sz w:val="20"/>
        </w:rPr>
        <w:instrText>ARABIC</w:instrText>
      </w:r>
      <w:r w:rsidRPr="00DA20AB">
        <w:rPr>
          <w:sz w:val="20"/>
          <w:lang w:val="el-GR"/>
        </w:rPr>
        <w:instrText xml:space="preserve"> </w:instrText>
      </w:r>
      <w:r w:rsidR="00624802" w:rsidRPr="00DC20CE">
        <w:rPr>
          <w:sz w:val="20"/>
        </w:rPr>
        <w:fldChar w:fldCharType="separate"/>
      </w:r>
      <w:r w:rsidR="00817D63" w:rsidRPr="00DA20AB">
        <w:rPr>
          <w:noProof/>
          <w:sz w:val="20"/>
          <w:lang w:val="el-GR"/>
        </w:rPr>
        <w:t>7</w:t>
      </w:r>
      <w:r w:rsidR="00624802" w:rsidRPr="00DC20CE">
        <w:rPr>
          <w:sz w:val="20"/>
        </w:rPr>
        <w:fldChar w:fldCharType="end"/>
      </w:r>
    </w:p>
    <w:p w:rsidR="00411B29" w:rsidRPr="00DA20AB" w:rsidRDefault="00411B29" w:rsidP="00AB76FB">
      <w:pPr>
        <w:jc w:val="center"/>
        <w:rPr>
          <w:b/>
          <w:sz w:val="24"/>
          <w:lang w:val="el-GR"/>
        </w:rPr>
      </w:pPr>
    </w:p>
    <w:p w:rsidR="00E57BDE" w:rsidRPr="00311F89" w:rsidRDefault="00E57BDE" w:rsidP="00AB76FB">
      <w:pPr>
        <w:jc w:val="center"/>
        <w:rPr>
          <w:b/>
          <w:sz w:val="28"/>
          <w:u w:val="single"/>
          <w:lang w:val="el-GR"/>
        </w:rPr>
      </w:pPr>
      <w:r w:rsidRPr="00311F89">
        <w:rPr>
          <w:b/>
          <w:sz w:val="28"/>
          <w:u w:val="single"/>
          <w:lang w:val="el-GR"/>
        </w:rPr>
        <w:t>ΣΥΝΟΨΗ</w:t>
      </w:r>
    </w:p>
    <w:p w:rsidR="004356E8" w:rsidRDefault="00DC20CE" w:rsidP="00E57BDE">
      <w:pPr>
        <w:jc w:val="both"/>
        <w:rPr>
          <w:b/>
          <w:sz w:val="24"/>
          <w:lang w:val="el-GR"/>
        </w:rPr>
      </w:pPr>
      <w:r>
        <w:rPr>
          <w:b/>
          <w:sz w:val="24"/>
          <w:lang w:val="el-GR"/>
        </w:rPr>
        <w:t xml:space="preserve">Ο άξονας Α΄αφορούσε το σχεδιασμό και την οργάνωση του προγράμματος κινητικότητας πριν την υλοποίηση της κινητικότητας, η οποία πραγματοποιήθηκε από τη διευθύντρια και το εκπαιδευτικό προσωπικό. </w:t>
      </w:r>
    </w:p>
    <w:p w:rsidR="00DC20CE" w:rsidRPr="00E57BDE" w:rsidRDefault="00DC20CE" w:rsidP="00E57BDE">
      <w:pPr>
        <w:jc w:val="both"/>
        <w:rPr>
          <w:b/>
          <w:sz w:val="24"/>
          <w:lang w:val="el-GR"/>
        </w:rPr>
      </w:pPr>
      <w:r>
        <w:rPr>
          <w:b/>
          <w:sz w:val="24"/>
          <w:lang w:val="el-GR"/>
        </w:rPr>
        <w:t>Όπως φαίνεται από τα παραπάνω διαγράμματα, υπήρξε πολύ καλή ενημέρωση του πλαισίου του προγράμματος, όπως σκοπός, στόχοι, προσδοκώμενα αποτελέσματα</w:t>
      </w:r>
      <w:r w:rsidRPr="00DC20CE">
        <w:rPr>
          <w:b/>
          <w:sz w:val="24"/>
          <w:lang w:val="el-GR"/>
        </w:rPr>
        <w:t xml:space="preserve"> </w:t>
      </w:r>
      <w:r>
        <w:rPr>
          <w:b/>
          <w:sz w:val="24"/>
          <w:lang w:val="el-GR"/>
        </w:rPr>
        <w:t>(</w:t>
      </w:r>
      <w:r>
        <w:rPr>
          <w:b/>
          <w:sz w:val="24"/>
        </w:rPr>
        <w:t>Figure</w:t>
      </w:r>
      <w:r>
        <w:rPr>
          <w:b/>
          <w:sz w:val="24"/>
          <w:lang w:val="el-GR"/>
        </w:rPr>
        <w:t xml:space="preserve"> 1), καθημερινό πρόγραμμα</w:t>
      </w:r>
      <w:r w:rsidRPr="00DC20CE">
        <w:rPr>
          <w:b/>
          <w:sz w:val="24"/>
          <w:lang w:val="el-GR"/>
        </w:rPr>
        <w:t xml:space="preserve"> </w:t>
      </w:r>
      <w:r>
        <w:rPr>
          <w:b/>
          <w:sz w:val="24"/>
          <w:lang w:val="el-GR"/>
        </w:rPr>
        <w:t>(</w:t>
      </w:r>
      <w:r>
        <w:rPr>
          <w:b/>
          <w:sz w:val="24"/>
        </w:rPr>
        <w:t>Figure</w:t>
      </w:r>
      <w:r w:rsidRPr="00DC20CE">
        <w:rPr>
          <w:b/>
          <w:sz w:val="24"/>
          <w:lang w:val="el-GR"/>
        </w:rPr>
        <w:t xml:space="preserve"> 4 &amp; 7)</w:t>
      </w:r>
      <w:r>
        <w:rPr>
          <w:b/>
          <w:sz w:val="24"/>
          <w:lang w:val="el-GR"/>
        </w:rPr>
        <w:t>, καθώς και τρόποι διασφάλισης της ποιότητας και της ασφάλειας των συμμετεχόντων</w:t>
      </w:r>
      <w:r w:rsidRPr="00DC20CE">
        <w:rPr>
          <w:b/>
          <w:sz w:val="24"/>
          <w:lang w:val="el-GR"/>
        </w:rPr>
        <w:t xml:space="preserve"> </w:t>
      </w:r>
      <w:r>
        <w:rPr>
          <w:b/>
          <w:sz w:val="24"/>
          <w:lang w:val="el-GR"/>
        </w:rPr>
        <w:t>(</w:t>
      </w:r>
      <w:r>
        <w:rPr>
          <w:b/>
          <w:sz w:val="24"/>
        </w:rPr>
        <w:t>Figure</w:t>
      </w:r>
      <w:r w:rsidRPr="00DC20CE">
        <w:rPr>
          <w:b/>
          <w:sz w:val="24"/>
          <w:lang w:val="el-GR"/>
        </w:rPr>
        <w:t xml:space="preserve"> 6)</w:t>
      </w:r>
      <w:r>
        <w:rPr>
          <w:b/>
          <w:sz w:val="24"/>
          <w:lang w:val="el-GR"/>
        </w:rPr>
        <w:t>. Επίσης, υπήρξε πολύ καλή πολισμική προετοιμασία</w:t>
      </w:r>
      <w:r w:rsidR="00E57BDE" w:rsidRPr="00E57BDE">
        <w:rPr>
          <w:b/>
          <w:sz w:val="24"/>
          <w:lang w:val="el-GR"/>
        </w:rPr>
        <w:t xml:space="preserve"> (</w:t>
      </w:r>
      <w:r w:rsidR="00E57BDE">
        <w:rPr>
          <w:b/>
          <w:sz w:val="24"/>
        </w:rPr>
        <w:t>Figure</w:t>
      </w:r>
      <w:r w:rsidR="00E57BDE" w:rsidRPr="00E57BDE">
        <w:rPr>
          <w:b/>
          <w:sz w:val="24"/>
          <w:lang w:val="el-GR"/>
        </w:rPr>
        <w:t xml:space="preserve"> 3)</w:t>
      </w:r>
      <w:r>
        <w:rPr>
          <w:b/>
          <w:sz w:val="24"/>
          <w:lang w:val="el-GR"/>
        </w:rPr>
        <w:t xml:space="preserve">, ενώ όπως φαίνεται από το διάγραμμα 2 η γλωσσική προετοιμασία των συμμετεχόντων είχε τις </w:t>
      </w:r>
      <w:r w:rsidR="00E57BDE">
        <w:rPr>
          <w:b/>
          <w:sz w:val="24"/>
          <w:lang w:val="el-GR"/>
        </w:rPr>
        <w:t>μεγαλύτερες διαφοροποιήσεις στις απαντήσε</w:t>
      </w:r>
      <w:r w:rsidR="002A5490">
        <w:rPr>
          <w:b/>
          <w:sz w:val="24"/>
          <w:lang w:val="el-GR"/>
        </w:rPr>
        <w:t xml:space="preserve">ις των συμμετεχόντων. Τέλος, η προετοιμασία </w:t>
      </w:r>
      <w:r w:rsidR="00E57BDE">
        <w:rPr>
          <w:b/>
          <w:sz w:val="24"/>
          <w:lang w:val="el-GR"/>
        </w:rPr>
        <w:t>με τους υπευθύνους του φορέα υποδοχής βοήθησαν πάρα πολύ στην ένταξη των συμμετεχόντων (</w:t>
      </w:r>
      <w:r w:rsidR="00E57BDE">
        <w:rPr>
          <w:b/>
          <w:sz w:val="24"/>
        </w:rPr>
        <w:t>Figure</w:t>
      </w:r>
      <w:r w:rsidR="00E57BDE" w:rsidRPr="00E57BDE">
        <w:rPr>
          <w:b/>
          <w:sz w:val="24"/>
          <w:lang w:val="el-GR"/>
        </w:rPr>
        <w:t xml:space="preserve"> 5).</w:t>
      </w:r>
    </w:p>
    <w:p w:rsidR="004356E8" w:rsidRDefault="004356E8" w:rsidP="00AB76FB">
      <w:pPr>
        <w:jc w:val="center"/>
        <w:rPr>
          <w:b/>
          <w:sz w:val="24"/>
          <w:lang w:val="el-GR"/>
        </w:rPr>
      </w:pPr>
    </w:p>
    <w:p w:rsidR="004356E8" w:rsidRDefault="004356E8" w:rsidP="00AB76FB">
      <w:pPr>
        <w:jc w:val="center"/>
        <w:rPr>
          <w:b/>
          <w:sz w:val="24"/>
          <w:lang w:val="el-GR"/>
        </w:rPr>
      </w:pPr>
    </w:p>
    <w:p w:rsidR="00AB76FB" w:rsidRPr="00194BEA" w:rsidRDefault="00AB76FB" w:rsidP="00194BEA">
      <w:pPr>
        <w:rPr>
          <w:b/>
          <w:color w:val="FF0000"/>
          <w:sz w:val="40"/>
          <w:lang w:val="el-GR"/>
        </w:rPr>
      </w:pPr>
      <w:r w:rsidRPr="00194BEA">
        <w:rPr>
          <w:b/>
          <w:color w:val="FF0000"/>
          <w:sz w:val="40"/>
          <w:lang w:val="el-GR"/>
        </w:rPr>
        <w:lastRenderedPageBreak/>
        <w:t>ΑΞΟΝΑΣ Β΄ΥΛΟΠΟΙΗΣΗ</w:t>
      </w:r>
    </w:p>
    <w:p w:rsidR="001E4041" w:rsidRDefault="00624802" w:rsidP="00AB76FB">
      <w:pPr>
        <w:jc w:val="center"/>
        <w:rPr>
          <w:b/>
          <w:sz w:val="24"/>
          <w:lang w:val="el-GR"/>
        </w:rPr>
      </w:pPr>
      <w:r w:rsidRPr="00624802">
        <w:rPr>
          <w:noProof/>
        </w:rPr>
        <w:pict>
          <v:shapetype id="_x0000_t202" coordsize="21600,21600" o:spt="202" path="m,l,21600r21600,l21600,xe">
            <v:stroke joinstyle="miter"/>
            <v:path gradientshapeok="t" o:connecttype="rect"/>
          </v:shapetype>
          <v:shape id="_x0000_s1026" type="#_x0000_t202" style="position:absolute;left:0;text-align:left;margin-left:39.75pt;margin-top:231.55pt;width:391.5pt;height:.05pt;z-index:251661312" stroked="f">
            <v:textbox style="mso-fit-shape-to-text:t" inset="0,0,0,0">
              <w:txbxContent>
                <w:p w:rsidR="00BD098C" w:rsidRPr="00BD098C" w:rsidRDefault="00BD098C" w:rsidP="00BD098C">
                  <w:pPr>
                    <w:pStyle w:val="a6"/>
                    <w:jc w:val="center"/>
                    <w:rPr>
                      <w:noProof/>
                      <w:sz w:val="20"/>
                      <w:szCs w:val="20"/>
                    </w:rPr>
                  </w:pPr>
                  <w:r w:rsidRPr="00BD098C">
                    <w:rPr>
                      <w:sz w:val="20"/>
                      <w:szCs w:val="20"/>
                    </w:rPr>
                    <w:t xml:space="preserve">Figure </w:t>
                  </w:r>
                  <w:r w:rsidR="00624802" w:rsidRPr="00BD098C">
                    <w:rPr>
                      <w:sz w:val="20"/>
                      <w:szCs w:val="20"/>
                    </w:rPr>
                    <w:fldChar w:fldCharType="begin"/>
                  </w:r>
                  <w:r w:rsidRPr="00BD098C">
                    <w:rPr>
                      <w:sz w:val="20"/>
                      <w:szCs w:val="20"/>
                    </w:rPr>
                    <w:instrText xml:space="preserve"> SEQ Figure \* ARABIC </w:instrText>
                  </w:r>
                  <w:r w:rsidR="00624802" w:rsidRPr="00BD098C">
                    <w:rPr>
                      <w:sz w:val="20"/>
                      <w:szCs w:val="20"/>
                    </w:rPr>
                    <w:fldChar w:fldCharType="separate"/>
                  </w:r>
                  <w:r w:rsidR="00817D63">
                    <w:rPr>
                      <w:noProof/>
                      <w:sz w:val="20"/>
                      <w:szCs w:val="20"/>
                    </w:rPr>
                    <w:t>8</w:t>
                  </w:r>
                  <w:r w:rsidR="00624802" w:rsidRPr="00BD098C">
                    <w:rPr>
                      <w:sz w:val="20"/>
                      <w:szCs w:val="20"/>
                    </w:rPr>
                    <w:fldChar w:fldCharType="end"/>
                  </w:r>
                </w:p>
              </w:txbxContent>
            </v:textbox>
            <w10:wrap type="square"/>
          </v:shape>
        </w:pict>
      </w:r>
      <w:r w:rsidR="00FA6F43">
        <w:rPr>
          <w:b/>
          <w:noProof/>
          <w:sz w:val="24"/>
          <w:lang w:val="el-GR" w:eastAsia="el-GR"/>
        </w:rPr>
        <w:drawing>
          <wp:anchor distT="0" distB="0" distL="114300" distR="114300" simplePos="0" relativeHeight="251659264" behindDoc="0" locked="0" layoutInCell="1" allowOverlap="1">
            <wp:simplePos x="0" y="0"/>
            <wp:positionH relativeFrom="column">
              <wp:posOffset>504825</wp:posOffset>
            </wp:positionH>
            <wp:positionV relativeFrom="paragraph">
              <wp:posOffset>130810</wp:posOffset>
            </wp:positionV>
            <wp:extent cx="4972050" cy="2752725"/>
            <wp:effectExtent l="19050" t="0" r="1905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B76FB" w:rsidRDefault="00AB76FB" w:rsidP="00AB76FB">
      <w:pPr>
        <w:jc w:val="center"/>
        <w:rPr>
          <w:b/>
          <w:sz w:val="24"/>
          <w:lang w:val="el-GR"/>
        </w:rPr>
      </w:pPr>
    </w:p>
    <w:p w:rsidR="001E4041" w:rsidRDefault="001E4041" w:rsidP="00AB76FB">
      <w:pPr>
        <w:jc w:val="center"/>
        <w:rPr>
          <w:b/>
          <w:sz w:val="24"/>
          <w:lang w:val="el-GR"/>
        </w:rPr>
      </w:pPr>
    </w:p>
    <w:p w:rsidR="001E4041" w:rsidRDefault="004356E8" w:rsidP="004356E8">
      <w:pPr>
        <w:rPr>
          <w:b/>
          <w:sz w:val="24"/>
          <w:lang w:val="el-GR"/>
        </w:rPr>
      </w:pPr>
      <w:r>
        <w:rPr>
          <w:b/>
          <w:sz w:val="24"/>
          <w:lang w:val="el-GR"/>
        </w:rPr>
        <w:br w:type="textWrapping" w:clear="all"/>
      </w:r>
    </w:p>
    <w:p w:rsidR="00BD098C" w:rsidRDefault="004356E8" w:rsidP="00BD098C">
      <w:pPr>
        <w:keepNext/>
        <w:jc w:val="center"/>
      </w:pPr>
      <w:r>
        <w:rPr>
          <w:b/>
          <w:noProof/>
          <w:sz w:val="24"/>
          <w:lang w:val="el-GR" w:eastAsia="el-GR"/>
        </w:rPr>
        <w:drawing>
          <wp:inline distT="0" distB="0" distL="0" distR="0">
            <wp:extent cx="5114925" cy="287655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4041" w:rsidRPr="00BD098C" w:rsidRDefault="00BD098C" w:rsidP="00BD098C">
      <w:pPr>
        <w:pStyle w:val="a6"/>
        <w:jc w:val="center"/>
        <w:rPr>
          <w:b w:val="0"/>
          <w:sz w:val="32"/>
          <w:lang w:val="el-GR"/>
        </w:rPr>
      </w:pPr>
      <w:r w:rsidRPr="00BD098C">
        <w:rPr>
          <w:sz w:val="22"/>
        </w:rPr>
        <w:t xml:space="preserve">Figure </w:t>
      </w:r>
      <w:r w:rsidR="00624802" w:rsidRPr="00BD098C">
        <w:rPr>
          <w:sz w:val="22"/>
        </w:rPr>
        <w:fldChar w:fldCharType="begin"/>
      </w:r>
      <w:r w:rsidRPr="00BD098C">
        <w:rPr>
          <w:sz w:val="22"/>
        </w:rPr>
        <w:instrText xml:space="preserve"> SEQ Figure \* ARABIC </w:instrText>
      </w:r>
      <w:r w:rsidR="00624802" w:rsidRPr="00BD098C">
        <w:rPr>
          <w:sz w:val="22"/>
        </w:rPr>
        <w:fldChar w:fldCharType="separate"/>
      </w:r>
      <w:r w:rsidR="00817D63">
        <w:rPr>
          <w:noProof/>
          <w:sz w:val="22"/>
        </w:rPr>
        <w:t>9</w:t>
      </w:r>
      <w:r w:rsidR="00624802" w:rsidRPr="00BD098C">
        <w:rPr>
          <w:sz w:val="22"/>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BD098C" w:rsidRDefault="00FA6F43" w:rsidP="00BD098C">
      <w:pPr>
        <w:keepNext/>
        <w:jc w:val="center"/>
      </w:pPr>
      <w:r>
        <w:rPr>
          <w:b/>
          <w:noProof/>
          <w:sz w:val="24"/>
          <w:lang w:val="el-GR" w:eastAsia="el-GR"/>
        </w:rPr>
        <w:lastRenderedPageBreak/>
        <w:drawing>
          <wp:inline distT="0" distB="0" distL="0" distR="0">
            <wp:extent cx="5086350" cy="2838450"/>
            <wp:effectExtent l="19050" t="0" r="19050" b="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4041"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10</w:t>
      </w:r>
      <w:r w:rsidR="00624802" w:rsidRPr="00BD098C">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5067300" cy="296227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4041"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11</w:t>
      </w:r>
      <w:r w:rsidR="00624802" w:rsidRPr="00BD098C">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1E4041" w:rsidRDefault="001E4041"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5010150" cy="276225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4041"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12</w:t>
      </w:r>
      <w:r w:rsidR="00624802" w:rsidRPr="00BD098C">
        <w:rPr>
          <w:sz w:val="20"/>
        </w:rPr>
        <w:fldChar w:fldCharType="end"/>
      </w:r>
    </w:p>
    <w:p w:rsidR="001E4041" w:rsidRDefault="001E4041"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4743450" cy="2981325"/>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4041" w:rsidRDefault="00BD098C" w:rsidP="00BD098C">
      <w:pPr>
        <w:pStyle w:val="a6"/>
        <w:jc w:val="center"/>
        <w:rPr>
          <w:sz w:val="20"/>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13</w:t>
      </w:r>
      <w:r w:rsidR="00624802" w:rsidRPr="00BD098C">
        <w:rPr>
          <w:sz w:val="20"/>
        </w:rPr>
        <w:fldChar w:fldCharType="end"/>
      </w:r>
    </w:p>
    <w:p w:rsidR="00BD098C" w:rsidRDefault="00BD098C" w:rsidP="00BD098C">
      <w:pPr>
        <w:rPr>
          <w:lang w:val="el-GR"/>
        </w:rPr>
      </w:pPr>
    </w:p>
    <w:p w:rsidR="00BD098C" w:rsidRDefault="00BD098C" w:rsidP="00BD098C">
      <w:pPr>
        <w:rPr>
          <w:lang w:val="el-GR"/>
        </w:rPr>
      </w:pPr>
    </w:p>
    <w:p w:rsidR="00BD098C" w:rsidRDefault="00BD098C" w:rsidP="00BD098C">
      <w:pPr>
        <w:rPr>
          <w:lang w:val="el-GR"/>
        </w:rPr>
      </w:pPr>
    </w:p>
    <w:p w:rsidR="00BD098C" w:rsidRPr="00BD098C" w:rsidRDefault="00BD098C" w:rsidP="00BD098C">
      <w:pPr>
        <w:rPr>
          <w:lang w:val="el-GR"/>
        </w:rPr>
      </w:pPr>
    </w:p>
    <w:p w:rsidR="00BD098C" w:rsidRDefault="004356E8" w:rsidP="00BD098C">
      <w:pPr>
        <w:keepNext/>
        <w:jc w:val="center"/>
      </w:pPr>
      <w:r>
        <w:rPr>
          <w:b/>
          <w:noProof/>
          <w:sz w:val="24"/>
          <w:lang w:val="el-GR" w:eastAsia="el-GR"/>
        </w:rPr>
        <w:drawing>
          <wp:inline distT="0" distB="0" distL="0" distR="0">
            <wp:extent cx="4610100" cy="2924175"/>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4041"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14</w:t>
      </w:r>
      <w:r w:rsidR="00624802" w:rsidRPr="00BD098C">
        <w:rPr>
          <w:sz w:val="20"/>
        </w:rPr>
        <w:fldChar w:fldCharType="end"/>
      </w:r>
    </w:p>
    <w:p w:rsidR="00FA6F43" w:rsidRDefault="00FA6F43"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4924425" cy="277177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56E8"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15</w:t>
      </w:r>
      <w:r w:rsidR="00624802" w:rsidRPr="00BD098C">
        <w:rPr>
          <w:sz w:val="20"/>
        </w:rPr>
        <w:fldChar w:fldCharType="end"/>
      </w:r>
    </w:p>
    <w:p w:rsidR="00FA6F43" w:rsidRDefault="00FA6F43" w:rsidP="00AB76FB">
      <w:pPr>
        <w:jc w:val="center"/>
        <w:rPr>
          <w:b/>
          <w:sz w:val="24"/>
          <w:lang w:val="el-GR"/>
        </w:rPr>
      </w:pPr>
    </w:p>
    <w:p w:rsidR="00FA6F43" w:rsidRDefault="00FA6F43"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5210175" cy="2981325"/>
            <wp:effectExtent l="1905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56E8" w:rsidRPr="00BD098C" w:rsidRDefault="00BD098C" w:rsidP="00BD098C">
      <w:pPr>
        <w:pStyle w:val="a6"/>
        <w:jc w:val="center"/>
        <w:rPr>
          <w:b w:val="0"/>
          <w:sz w:val="28"/>
          <w:lang w:val="el-GR"/>
        </w:rPr>
      </w:pPr>
      <w:r w:rsidRPr="00BD098C">
        <w:rPr>
          <w:sz w:val="20"/>
        </w:rPr>
        <w:t xml:space="preserve">Figure </w:t>
      </w:r>
      <w:r w:rsidR="00624802" w:rsidRPr="00BD098C">
        <w:rPr>
          <w:sz w:val="20"/>
        </w:rPr>
        <w:fldChar w:fldCharType="begin"/>
      </w:r>
      <w:r w:rsidRPr="00BD098C">
        <w:rPr>
          <w:sz w:val="20"/>
        </w:rPr>
        <w:instrText xml:space="preserve"> SEQ Figure \* ARABIC </w:instrText>
      </w:r>
      <w:r w:rsidR="00624802" w:rsidRPr="00BD098C">
        <w:rPr>
          <w:sz w:val="20"/>
        </w:rPr>
        <w:fldChar w:fldCharType="separate"/>
      </w:r>
      <w:r w:rsidR="00817D63">
        <w:rPr>
          <w:noProof/>
          <w:sz w:val="20"/>
        </w:rPr>
        <w:t>16</w:t>
      </w:r>
      <w:r w:rsidR="00624802" w:rsidRPr="00BD098C">
        <w:rPr>
          <w:sz w:val="20"/>
        </w:rPr>
        <w:fldChar w:fldCharType="end"/>
      </w:r>
    </w:p>
    <w:p w:rsidR="00FA6F43" w:rsidRDefault="00FA6F43" w:rsidP="00AB76FB">
      <w:pPr>
        <w:jc w:val="center"/>
        <w:rPr>
          <w:b/>
          <w:sz w:val="24"/>
          <w:lang w:val="el-GR"/>
        </w:rPr>
      </w:pPr>
    </w:p>
    <w:p w:rsidR="00FA6F43" w:rsidRDefault="00FA6F43" w:rsidP="00AB76FB">
      <w:pPr>
        <w:jc w:val="center"/>
        <w:rPr>
          <w:b/>
          <w:sz w:val="24"/>
          <w:lang w:val="el-GR"/>
        </w:rPr>
      </w:pPr>
    </w:p>
    <w:p w:rsidR="00BD098C" w:rsidRDefault="004356E8" w:rsidP="00BD098C">
      <w:pPr>
        <w:keepNext/>
        <w:jc w:val="center"/>
      </w:pPr>
      <w:r>
        <w:rPr>
          <w:b/>
          <w:noProof/>
          <w:sz w:val="24"/>
          <w:lang w:val="el-GR" w:eastAsia="el-GR"/>
        </w:rPr>
        <w:drawing>
          <wp:inline distT="0" distB="0" distL="0" distR="0">
            <wp:extent cx="4895850" cy="28575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56E8" w:rsidRPr="00BD098C" w:rsidRDefault="00BD098C" w:rsidP="00BD098C">
      <w:pPr>
        <w:pStyle w:val="a6"/>
        <w:jc w:val="center"/>
        <w:rPr>
          <w:b w:val="0"/>
          <w:sz w:val="28"/>
          <w:lang w:val="el-GR"/>
        </w:rPr>
      </w:pPr>
      <w:r w:rsidRPr="00BD098C">
        <w:rPr>
          <w:sz w:val="20"/>
        </w:rPr>
        <w:t>Figure</w:t>
      </w:r>
      <w:r w:rsidRPr="00BD098C">
        <w:rPr>
          <w:sz w:val="20"/>
          <w:lang w:val="el-GR"/>
        </w:rPr>
        <w:t xml:space="preserve"> </w:t>
      </w:r>
      <w:r w:rsidR="00624802" w:rsidRPr="00BD098C">
        <w:rPr>
          <w:sz w:val="20"/>
        </w:rPr>
        <w:fldChar w:fldCharType="begin"/>
      </w:r>
      <w:r w:rsidRPr="00BD098C">
        <w:rPr>
          <w:sz w:val="20"/>
          <w:lang w:val="el-GR"/>
        </w:rPr>
        <w:instrText xml:space="preserve"> </w:instrText>
      </w:r>
      <w:r w:rsidRPr="00BD098C">
        <w:rPr>
          <w:sz w:val="20"/>
        </w:rPr>
        <w:instrText>SEQ</w:instrText>
      </w:r>
      <w:r w:rsidRPr="00BD098C">
        <w:rPr>
          <w:sz w:val="20"/>
          <w:lang w:val="el-GR"/>
        </w:rPr>
        <w:instrText xml:space="preserve"> </w:instrText>
      </w:r>
      <w:r w:rsidRPr="00BD098C">
        <w:rPr>
          <w:sz w:val="20"/>
        </w:rPr>
        <w:instrText>Figure</w:instrText>
      </w:r>
      <w:r w:rsidRPr="00BD098C">
        <w:rPr>
          <w:sz w:val="20"/>
          <w:lang w:val="el-GR"/>
        </w:rPr>
        <w:instrText xml:space="preserve"> \* </w:instrText>
      </w:r>
      <w:r w:rsidRPr="00BD098C">
        <w:rPr>
          <w:sz w:val="20"/>
        </w:rPr>
        <w:instrText>ARABIC</w:instrText>
      </w:r>
      <w:r w:rsidRPr="00BD098C">
        <w:rPr>
          <w:sz w:val="20"/>
          <w:lang w:val="el-GR"/>
        </w:rPr>
        <w:instrText xml:space="preserve"> </w:instrText>
      </w:r>
      <w:r w:rsidR="00624802" w:rsidRPr="00BD098C">
        <w:rPr>
          <w:sz w:val="20"/>
        </w:rPr>
        <w:fldChar w:fldCharType="separate"/>
      </w:r>
      <w:r w:rsidR="00817D63" w:rsidRPr="00DA20AB">
        <w:rPr>
          <w:noProof/>
          <w:sz w:val="20"/>
          <w:lang w:val="el-GR"/>
        </w:rPr>
        <w:t>17</w:t>
      </w:r>
      <w:r w:rsidR="00624802" w:rsidRPr="00BD098C">
        <w:rPr>
          <w:sz w:val="20"/>
        </w:rPr>
        <w:fldChar w:fldCharType="end"/>
      </w:r>
    </w:p>
    <w:p w:rsidR="00FA6F43" w:rsidRDefault="00FA6F43" w:rsidP="00AB76FB">
      <w:pPr>
        <w:jc w:val="center"/>
        <w:rPr>
          <w:b/>
          <w:sz w:val="24"/>
          <w:lang w:val="el-GR"/>
        </w:rPr>
      </w:pPr>
    </w:p>
    <w:p w:rsidR="00CA730C" w:rsidRDefault="00CA730C" w:rsidP="00AB76FB">
      <w:pPr>
        <w:jc w:val="center"/>
        <w:rPr>
          <w:b/>
          <w:sz w:val="24"/>
          <w:lang w:val="el-GR"/>
        </w:rPr>
      </w:pPr>
    </w:p>
    <w:p w:rsidR="00BD098C" w:rsidRPr="00311F89" w:rsidRDefault="00BD098C" w:rsidP="00BD098C">
      <w:pPr>
        <w:jc w:val="center"/>
        <w:rPr>
          <w:b/>
          <w:sz w:val="28"/>
          <w:u w:val="single"/>
          <w:lang w:val="el-GR"/>
        </w:rPr>
      </w:pPr>
      <w:r w:rsidRPr="00311F89">
        <w:rPr>
          <w:b/>
          <w:sz w:val="28"/>
          <w:u w:val="single"/>
          <w:lang w:val="el-GR"/>
        </w:rPr>
        <w:t>ΣΥΝΟΨΗ</w:t>
      </w:r>
    </w:p>
    <w:p w:rsidR="00BD098C" w:rsidRPr="00BD098C" w:rsidRDefault="00BD098C" w:rsidP="00BD098C">
      <w:pPr>
        <w:jc w:val="center"/>
        <w:rPr>
          <w:b/>
          <w:sz w:val="24"/>
          <w:u w:val="single"/>
          <w:lang w:val="el-GR"/>
        </w:rPr>
      </w:pPr>
    </w:p>
    <w:p w:rsidR="00CA730C" w:rsidRDefault="00BD098C" w:rsidP="00BD098C">
      <w:pPr>
        <w:jc w:val="both"/>
        <w:rPr>
          <w:b/>
          <w:sz w:val="24"/>
          <w:lang w:val="el-GR"/>
        </w:rPr>
      </w:pPr>
      <w:r>
        <w:rPr>
          <w:b/>
          <w:sz w:val="24"/>
          <w:lang w:val="el-GR"/>
        </w:rPr>
        <w:t xml:space="preserve">Ο άξονας </w:t>
      </w:r>
      <w:r>
        <w:rPr>
          <w:b/>
          <w:sz w:val="24"/>
        </w:rPr>
        <w:t>B</w:t>
      </w:r>
      <w:r>
        <w:rPr>
          <w:b/>
          <w:sz w:val="24"/>
          <w:lang w:val="el-GR"/>
        </w:rPr>
        <w:t xml:space="preserve">΄αφορούσε την υλοποίηση της κινητικότητας του προγράμματος κινητικότητας, </w:t>
      </w:r>
      <w:r w:rsidR="00CA730C">
        <w:rPr>
          <w:b/>
          <w:sz w:val="24"/>
          <w:lang w:val="el-GR"/>
        </w:rPr>
        <w:t xml:space="preserve">όπου συμμετείχαν 18 μαθητές και 6 συνοδοί καθηγητές από τις 22 Φεβρουαρίου έως τις 9 </w:t>
      </w:r>
      <w:r w:rsidR="003D3768">
        <w:rPr>
          <w:b/>
          <w:sz w:val="24"/>
          <w:lang w:val="el-GR"/>
        </w:rPr>
        <w:t>Μαρτίου</w:t>
      </w:r>
      <w:r w:rsidR="00CA730C">
        <w:rPr>
          <w:b/>
          <w:sz w:val="24"/>
          <w:lang w:val="el-GR"/>
        </w:rPr>
        <w:t>.</w:t>
      </w:r>
    </w:p>
    <w:p w:rsidR="00BD098C" w:rsidRPr="00817D63" w:rsidRDefault="00BD098C" w:rsidP="00BD098C">
      <w:pPr>
        <w:jc w:val="both"/>
        <w:rPr>
          <w:b/>
          <w:sz w:val="24"/>
          <w:lang w:val="el-GR"/>
        </w:rPr>
      </w:pPr>
      <w:r>
        <w:rPr>
          <w:b/>
          <w:sz w:val="24"/>
          <w:lang w:val="el-GR"/>
        </w:rPr>
        <w:t xml:space="preserve"> </w:t>
      </w:r>
      <w:r w:rsidR="00CA730C">
        <w:rPr>
          <w:b/>
          <w:sz w:val="24"/>
          <w:lang w:val="el-GR"/>
        </w:rPr>
        <w:t>Όπως φαίνεται από τα γραφήματα, οι συμμετέχοντες απέκτησαν νέεως γνώσεις και δεξιότητες που είτε μπορούν να ωφελήσουν στην καθημερινότητά τους(</w:t>
      </w:r>
      <w:r w:rsidR="00CA730C">
        <w:rPr>
          <w:b/>
          <w:sz w:val="24"/>
        </w:rPr>
        <w:t>Figure</w:t>
      </w:r>
      <w:r w:rsidR="00CA730C" w:rsidRPr="00CA730C">
        <w:rPr>
          <w:b/>
          <w:sz w:val="24"/>
          <w:lang w:val="el-GR"/>
        </w:rPr>
        <w:t xml:space="preserve"> 16), </w:t>
      </w:r>
      <w:r w:rsidR="00CA730C">
        <w:rPr>
          <w:b/>
          <w:sz w:val="24"/>
          <w:lang w:val="el-GR"/>
        </w:rPr>
        <w:t>είτε στην ειδικότητά τους (</w:t>
      </w:r>
      <w:r w:rsidR="00CA730C">
        <w:rPr>
          <w:b/>
          <w:sz w:val="24"/>
        </w:rPr>
        <w:t>Figure</w:t>
      </w:r>
      <w:r w:rsidR="00CA730C" w:rsidRPr="00CA730C">
        <w:rPr>
          <w:b/>
          <w:sz w:val="24"/>
          <w:lang w:val="el-GR"/>
        </w:rPr>
        <w:t xml:space="preserve"> 13</w:t>
      </w:r>
      <w:r w:rsidR="004632EE">
        <w:rPr>
          <w:b/>
          <w:sz w:val="24"/>
          <w:lang w:val="el-GR"/>
        </w:rPr>
        <w:t xml:space="preserve"> &amp; 14</w:t>
      </w:r>
      <w:r w:rsidR="00CA730C" w:rsidRPr="00CA730C">
        <w:rPr>
          <w:b/>
          <w:sz w:val="24"/>
          <w:lang w:val="el-GR"/>
        </w:rPr>
        <w:t>)</w:t>
      </w:r>
      <w:r w:rsidR="00817D63">
        <w:rPr>
          <w:b/>
          <w:sz w:val="24"/>
          <w:lang w:val="el-GR"/>
        </w:rPr>
        <w:t>, βελτιώνοντας παράληλλα τις λεκτικές τους δεξιότητες στα αγγλικά (</w:t>
      </w:r>
      <w:r w:rsidR="00817D63">
        <w:rPr>
          <w:b/>
          <w:sz w:val="24"/>
        </w:rPr>
        <w:t>Figure</w:t>
      </w:r>
      <w:r w:rsidR="00817D63" w:rsidRPr="00817D63">
        <w:rPr>
          <w:b/>
          <w:sz w:val="24"/>
          <w:lang w:val="el-GR"/>
        </w:rPr>
        <w:t xml:space="preserve"> 12)</w:t>
      </w:r>
      <w:r w:rsidR="00CA730C" w:rsidRPr="00CA730C">
        <w:rPr>
          <w:b/>
          <w:sz w:val="24"/>
          <w:lang w:val="el-GR"/>
        </w:rPr>
        <w:t xml:space="preserve">. </w:t>
      </w:r>
      <w:r w:rsidR="00817D63">
        <w:rPr>
          <w:b/>
          <w:sz w:val="24"/>
          <w:lang w:val="el-GR"/>
        </w:rPr>
        <w:t>Επίσης, οι εκπαιδευτικές δράσεις βοήθησαν αρκετά στην ανάδειξη και απόκτηση θετικής στάσης απέναντι στη διά βίου μάθηση (</w:t>
      </w:r>
      <w:r w:rsidR="00817D63">
        <w:rPr>
          <w:b/>
          <w:sz w:val="24"/>
        </w:rPr>
        <w:t>Figure</w:t>
      </w:r>
      <w:r w:rsidR="00817D63" w:rsidRPr="00817D63">
        <w:rPr>
          <w:b/>
          <w:sz w:val="24"/>
          <w:lang w:val="el-GR"/>
        </w:rPr>
        <w:t xml:space="preserve"> 15)</w:t>
      </w:r>
      <w:r w:rsidR="00817D63">
        <w:rPr>
          <w:b/>
          <w:sz w:val="24"/>
          <w:lang w:val="el-GR"/>
        </w:rPr>
        <w:t>, ενώ παράλληλα ενισχύθηκε η αίσθηση του ανήκειν στους συμμετέχοντες ως μέλη της Ε.Ε. (</w:t>
      </w:r>
      <w:r w:rsidR="00817D63">
        <w:rPr>
          <w:b/>
          <w:sz w:val="24"/>
        </w:rPr>
        <w:t>Figure</w:t>
      </w:r>
      <w:r w:rsidR="00817D63" w:rsidRPr="00817D63">
        <w:rPr>
          <w:b/>
          <w:sz w:val="24"/>
          <w:lang w:val="el-GR"/>
        </w:rPr>
        <w:t xml:space="preserve"> 11). </w:t>
      </w:r>
      <w:r w:rsidR="00817D63">
        <w:rPr>
          <w:b/>
          <w:sz w:val="24"/>
          <w:lang w:val="el-GR"/>
        </w:rPr>
        <w:t>Ιδιαίτερη σημασία δίνουν τα γραφήματα 9 &amp; 10 όπου τεκμηριώνουν τη σημασία υπάρξης συνοδών καθηγητών στην επίτευξη των στόχων του σχεδίου καθώς και την ορθή επικοινωνία μεταξύ των συμμετεχόντων. Τέλος, η κινητικότητα των 15 ημερών φαίνεται να ανταποκρίθηκε άριστα στις προσδοκίες των συμμετεχόντων (</w:t>
      </w:r>
      <w:r w:rsidR="00817D63">
        <w:rPr>
          <w:b/>
          <w:sz w:val="24"/>
        </w:rPr>
        <w:t>Figure</w:t>
      </w:r>
      <w:r w:rsidR="00817D63" w:rsidRPr="00817D63">
        <w:rPr>
          <w:b/>
          <w:sz w:val="24"/>
          <w:lang w:val="el-GR"/>
        </w:rPr>
        <w:t xml:space="preserve"> 17).</w:t>
      </w:r>
    </w:p>
    <w:p w:rsidR="00BD098C" w:rsidRPr="00BD098C" w:rsidRDefault="00BD098C" w:rsidP="00BD098C">
      <w:pPr>
        <w:jc w:val="center"/>
        <w:rPr>
          <w:b/>
          <w:sz w:val="24"/>
          <w:u w:val="single"/>
          <w:lang w:val="el-GR"/>
        </w:rPr>
      </w:pPr>
    </w:p>
    <w:p w:rsidR="00BD098C" w:rsidRDefault="00BD098C" w:rsidP="00BD098C">
      <w:pPr>
        <w:jc w:val="center"/>
        <w:rPr>
          <w:b/>
          <w:sz w:val="24"/>
          <w:u w:val="single"/>
          <w:lang w:val="el-GR"/>
        </w:rPr>
      </w:pPr>
    </w:p>
    <w:p w:rsidR="00817D63" w:rsidRDefault="00817D63" w:rsidP="00BD098C">
      <w:pPr>
        <w:jc w:val="center"/>
        <w:rPr>
          <w:b/>
          <w:sz w:val="24"/>
          <w:u w:val="single"/>
          <w:lang w:val="el-GR"/>
        </w:rPr>
      </w:pPr>
    </w:p>
    <w:p w:rsidR="00817D63" w:rsidRPr="00BD098C" w:rsidRDefault="00817D63"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BD098C" w:rsidRPr="00BD098C" w:rsidRDefault="00BD098C" w:rsidP="00BD098C">
      <w:pPr>
        <w:jc w:val="center"/>
        <w:rPr>
          <w:b/>
          <w:sz w:val="24"/>
          <w:u w:val="single"/>
          <w:lang w:val="el-GR"/>
        </w:rPr>
      </w:pPr>
    </w:p>
    <w:p w:rsidR="00AB76FB" w:rsidRPr="00194BEA" w:rsidRDefault="00AB76FB" w:rsidP="00194BEA">
      <w:pPr>
        <w:rPr>
          <w:b/>
          <w:color w:val="FF0000"/>
          <w:sz w:val="40"/>
          <w:lang w:val="el-GR"/>
        </w:rPr>
      </w:pPr>
      <w:r w:rsidRPr="00194BEA">
        <w:rPr>
          <w:b/>
          <w:color w:val="FF0000"/>
          <w:sz w:val="40"/>
          <w:lang w:val="el-GR"/>
        </w:rPr>
        <w:lastRenderedPageBreak/>
        <w:t>ΑΞΟΝΑΣ Γ' ΟΡΓΑΝΙΣΜΟΣ ΥΠΟΔΟΧΗΣ</w:t>
      </w:r>
    </w:p>
    <w:p w:rsidR="00194BEA" w:rsidRPr="00BD098C" w:rsidRDefault="00194BEA" w:rsidP="00AB76FB">
      <w:pPr>
        <w:jc w:val="center"/>
        <w:rPr>
          <w:b/>
          <w:sz w:val="36"/>
        </w:rPr>
      </w:pPr>
    </w:p>
    <w:p w:rsidR="00817D63" w:rsidRDefault="00194BEA" w:rsidP="00817D63">
      <w:pPr>
        <w:keepNext/>
        <w:jc w:val="center"/>
      </w:pPr>
      <w:r>
        <w:rPr>
          <w:b/>
          <w:noProof/>
          <w:sz w:val="24"/>
          <w:lang w:val="el-GR" w:eastAsia="el-GR"/>
        </w:rPr>
        <w:drawing>
          <wp:inline distT="0" distB="0" distL="0" distR="0">
            <wp:extent cx="5048250" cy="2676525"/>
            <wp:effectExtent l="19050" t="0" r="19050" b="0"/>
            <wp:docPr id="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76FB"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18</w:t>
      </w:r>
      <w:r w:rsidR="00624802" w:rsidRPr="00817D63">
        <w:rPr>
          <w:sz w:val="20"/>
        </w:rPr>
        <w:fldChar w:fldCharType="end"/>
      </w:r>
    </w:p>
    <w:p w:rsidR="00AB76FB" w:rsidRDefault="00AB76FB"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4933950" cy="2895600"/>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19</w:t>
      </w:r>
      <w:r w:rsidR="00624802" w:rsidRPr="00817D63">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4933950" cy="3009900"/>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20</w:t>
      </w:r>
      <w:r w:rsidR="00624802" w:rsidRPr="00817D63">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5048250" cy="2914650"/>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21</w:t>
      </w:r>
      <w:r w:rsidR="00624802" w:rsidRPr="00817D63">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4905375" cy="3076575"/>
            <wp:effectExtent l="1905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22</w:t>
      </w:r>
      <w:r w:rsidR="00624802" w:rsidRPr="00817D63">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5105400" cy="3048000"/>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E4041" w:rsidRDefault="00817D63" w:rsidP="00817D63">
      <w:pPr>
        <w:pStyle w:val="a6"/>
        <w:jc w:val="center"/>
        <w:rPr>
          <w:sz w:val="20"/>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23</w:t>
      </w:r>
      <w:r w:rsidR="00624802" w:rsidRPr="00817D63">
        <w:rPr>
          <w:sz w:val="20"/>
        </w:rPr>
        <w:fldChar w:fldCharType="end"/>
      </w:r>
    </w:p>
    <w:p w:rsidR="00817D63" w:rsidRDefault="00817D63" w:rsidP="00817D63">
      <w:pPr>
        <w:rPr>
          <w:lang w:val="el-GR"/>
        </w:rPr>
      </w:pPr>
    </w:p>
    <w:p w:rsidR="00817D63" w:rsidRPr="00817D63" w:rsidRDefault="00817D63" w:rsidP="00817D63">
      <w:pPr>
        <w:rPr>
          <w:lang w:val="el-GR"/>
        </w:rPr>
      </w:pPr>
    </w:p>
    <w:p w:rsidR="00817D63" w:rsidRDefault="00506CA7" w:rsidP="00817D63">
      <w:pPr>
        <w:keepNext/>
        <w:jc w:val="center"/>
      </w:pPr>
      <w:r>
        <w:rPr>
          <w:b/>
          <w:noProof/>
          <w:sz w:val="24"/>
          <w:lang w:val="el-GR" w:eastAsia="el-GR"/>
        </w:rPr>
        <w:drawing>
          <wp:inline distT="0" distB="0" distL="0" distR="0">
            <wp:extent cx="4991100" cy="2924175"/>
            <wp:effectExtent l="19050" t="0" r="190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24</w:t>
      </w:r>
      <w:r w:rsidR="00624802" w:rsidRPr="00817D63">
        <w:rPr>
          <w:sz w:val="20"/>
        </w:rPr>
        <w:fldChar w:fldCharType="end"/>
      </w:r>
    </w:p>
    <w:p w:rsidR="001E4041" w:rsidRDefault="001E4041" w:rsidP="00AB76FB">
      <w:pPr>
        <w:jc w:val="center"/>
        <w:rPr>
          <w:b/>
          <w:sz w:val="24"/>
          <w:lang w:val="el-GR"/>
        </w:rPr>
      </w:pPr>
    </w:p>
    <w:p w:rsidR="001E4041" w:rsidRDefault="001E4041" w:rsidP="00AB76FB">
      <w:pPr>
        <w:jc w:val="center"/>
        <w:rPr>
          <w:b/>
          <w:sz w:val="24"/>
          <w:lang w:val="el-GR"/>
        </w:rPr>
      </w:pPr>
    </w:p>
    <w:p w:rsidR="00817D63" w:rsidRDefault="00506CA7" w:rsidP="00817D63">
      <w:pPr>
        <w:keepNext/>
        <w:jc w:val="center"/>
      </w:pPr>
      <w:r>
        <w:rPr>
          <w:b/>
          <w:noProof/>
          <w:sz w:val="24"/>
          <w:lang w:val="el-GR" w:eastAsia="el-GR"/>
        </w:rPr>
        <w:drawing>
          <wp:inline distT="0" distB="0" distL="0" distR="0">
            <wp:extent cx="5114925" cy="3009900"/>
            <wp:effectExtent l="19050" t="0" r="952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E4041" w:rsidRPr="00817D63" w:rsidRDefault="00817D63" w:rsidP="00817D63">
      <w:pPr>
        <w:pStyle w:val="a6"/>
        <w:jc w:val="center"/>
        <w:rPr>
          <w:b w:val="0"/>
          <w:sz w:val="28"/>
          <w:lang w:val="el-GR"/>
        </w:rPr>
      </w:pPr>
      <w:r w:rsidRPr="00817D63">
        <w:rPr>
          <w:sz w:val="20"/>
        </w:rPr>
        <w:t xml:space="preserve">Figure </w:t>
      </w:r>
      <w:r w:rsidR="00624802" w:rsidRPr="00817D63">
        <w:rPr>
          <w:sz w:val="20"/>
        </w:rPr>
        <w:fldChar w:fldCharType="begin"/>
      </w:r>
      <w:r w:rsidRPr="00817D63">
        <w:rPr>
          <w:sz w:val="20"/>
        </w:rPr>
        <w:instrText xml:space="preserve"> SEQ Figure \* ARABIC </w:instrText>
      </w:r>
      <w:r w:rsidR="00624802" w:rsidRPr="00817D63">
        <w:rPr>
          <w:sz w:val="20"/>
        </w:rPr>
        <w:fldChar w:fldCharType="separate"/>
      </w:r>
      <w:r w:rsidRPr="00817D63">
        <w:rPr>
          <w:noProof/>
          <w:sz w:val="20"/>
        </w:rPr>
        <w:t>25</w:t>
      </w:r>
      <w:r w:rsidR="00624802" w:rsidRPr="00817D63">
        <w:rPr>
          <w:sz w:val="20"/>
        </w:rPr>
        <w:fldChar w:fldCharType="end"/>
      </w:r>
    </w:p>
    <w:p w:rsidR="00817D63" w:rsidRDefault="00506CA7" w:rsidP="00817D63">
      <w:pPr>
        <w:keepNext/>
        <w:jc w:val="center"/>
      </w:pPr>
      <w:r>
        <w:rPr>
          <w:b/>
          <w:noProof/>
          <w:sz w:val="24"/>
          <w:lang w:val="el-GR" w:eastAsia="el-GR"/>
        </w:rPr>
        <w:lastRenderedPageBreak/>
        <w:drawing>
          <wp:inline distT="0" distB="0" distL="0" distR="0">
            <wp:extent cx="5019675" cy="2971800"/>
            <wp:effectExtent l="19050" t="0" r="952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06CA7" w:rsidRPr="00817D63" w:rsidRDefault="00817D63" w:rsidP="00817D63">
      <w:pPr>
        <w:pStyle w:val="a6"/>
        <w:jc w:val="center"/>
        <w:rPr>
          <w:b w:val="0"/>
          <w:sz w:val="28"/>
          <w:lang w:val="el-GR"/>
        </w:rPr>
      </w:pPr>
      <w:r w:rsidRPr="00817D63">
        <w:rPr>
          <w:sz w:val="20"/>
        </w:rPr>
        <w:t>Figure</w:t>
      </w:r>
      <w:r w:rsidRPr="00817D63">
        <w:rPr>
          <w:sz w:val="20"/>
          <w:lang w:val="el-GR"/>
        </w:rPr>
        <w:t xml:space="preserve"> </w:t>
      </w:r>
      <w:r w:rsidR="00624802" w:rsidRPr="00817D63">
        <w:rPr>
          <w:sz w:val="20"/>
        </w:rPr>
        <w:fldChar w:fldCharType="begin"/>
      </w:r>
      <w:r w:rsidRPr="00817D63">
        <w:rPr>
          <w:sz w:val="20"/>
          <w:lang w:val="el-GR"/>
        </w:rPr>
        <w:instrText xml:space="preserve"> </w:instrText>
      </w:r>
      <w:r w:rsidRPr="00817D63">
        <w:rPr>
          <w:sz w:val="20"/>
        </w:rPr>
        <w:instrText>SEQ</w:instrText>
      </w:r>
      <w:r w:rsidRPr="00817D63">
        <w:rPr>
          <w:sz w:val="20"/>
          <w:lang w:val="el-GR"/>
        </w:rPr>
        <w:instrText xml:space="preserve"> </w:instrText>
      </w:r>
      <w:r w:rsidRPr="00817D63">
        <w:rPr>
          <w:sz w:val="20"/>
        </w:rPr>
        <w:instrText>Figure</w:instrText>
      </w:r>
      <w:r w:rsidRPr="00817D63">
        <w:rPr>
          <w:sz w:val="20"/>
          <w:lang w:val="el-GR"/>
        </w:rPr>
        <w:instrText xml:space="preserve"> \* </w:instrText>
      </w:r>
      <w:r w:rsidRPr="00817D63">
        <w:rPr>
          <w:sz w:val="20"/>
        </w:rPr>
        <w:instrText>ARABIC</w:instrText>
      </w:r>
      <w:r w:rsidRPr="00817D63">
        <w:rPr>
          <w:sz w:val="20"/>
          <w:lang w:val="el-GR"/>
        </w:rPr>
        <w:instrText xml:space="preserve"> </w:instrText>
      </w:r>
      <w:r w:rsidR="00624802" w:rsidRPr="00817D63">
        <w:rPr>
          <w:sz w:val="20"/>
        </w:rPr>
        <w:fldChar w:fldCharType="separate"/>
      </w:r>
      <w:r w:rsidRPr="00817D63">
        <w:rPr>
          <w:noProof/>
          <w:sz w:val="20"/>
          <w:lang w:val="el-GR"/>
        </w:rPr>
        <w:t>26</w:t>
      </w:r>
      <w:r w:rsidR="00624802" w:rsidRPr="00817D63">
        <w:rPr>
          <w:sz w:val="20"/>
        </w:rPr>
        <w:fldChar w:fldCharType="end"/>
      </w:r>
    </w:p>
    <w:p w:rsidR="00194BEA" w:rsidRDefault="00194BEA" w:rsidP="00AB76FB">
      <w:pPr>
        <w:jc w:val="center"/>
        <w:rPr>
          <w:b/>
          <w:sz w:val="24"/>
          <w:lang w:val="el-GR"/>
        </w:rPr>
      </w:pPr>
    </w:p>
    <w:p w:rsidR="00194BEA" w:rsidRPr="00311F89" w:rsidRDefault="00817D63" w:rsidP="00AB76FB">
      <w:pPr>
        <w:jc w:val="center"/>
        <w:rPr>
          <w:b/>
          <w:sz w:val="28"/>
          <w:lang w:val="el-GR"/>
        </w:rPr>
      </w:pPr>
      <w:r w:rsidRPr="00311F89">
        <w:rPr>
          <w:b/>
          <w:sz w:val="28"/>
          <w:u w:val="single"/>
          <w:lang w:val="el-GR"/>
        </w:rPr>
        <w:t>ΣΥΝΟΨΗ</w:t>
      </w:r>
    </w:p>
    <w:p w:rsidR="00194BEA" w:rsidRDefault="00194BEA" w:rsidP="00AB76FB">
      <w:pPr>
        <w:jc w:val="center"/>
        <w:rPr>
          <w:b/>
          <w:sz w:val="24"/>
          <w:lang w:val="el-GR"/>
        </w:rPr>
      </w:pPr>
    </w:p>
    <w:p w:rsidR="00817D63" w:rsidRDefault="00817D63" w:rsidP="00817D63">
      <w:pPr>
        <w:jc w:val="both"/>
        <w:rPr>
          <w:b/>
          <w:sz w:val="24"/>
          <w:lang w:val="el-GR"/>
        </w:rPr>
      </w:pPr>
      <w:r>
        <w:rPr>
          <w:b/>
          <w:sz w:val="24"/>
          <w:lang w:val="el-GR"/>
        </w:rPr>
        <w:t xml:space="preserve">Ο άξονας Γ΄εστίασε στις υπηρεσίες του φορέα υποδοχής από τις 22 Φεβρουαρίου έως τις 9 </w:t>
      </w:r>
      <w:r w:rsidR="00DA20AB">
        <w:rPr>
          <w:b/>
          <w:sz w:val="24"/>
          <w:lang w:val="el-GR"/>
        </w:rPr>
        <w:t>Μαρτίου</w:t>
      </w:r>
      <w:r>
        <w:rPr>
          <w:b/>
          <w:sz w:val="24"/>
          <w:lang w:val="el-GR"/>
        </w:rPr>
        <w:t>.</w:t>
      </w:r>
    </w:p>
    <w:p w:rsidR="00817D63" w:rsidRPr="00311F89" w:rsidRDefault="00817D63" w:rsidP="00817D63">
      <w:pPr>
        <w:jc w:val="both"/>
        <w:rPr>
          <w:b/>
          <w:sz w:val="24"/>
          <w:lang w:val="el-GR"/>
        </w:rPr>
      </w:pPr>
      <w:r>
        <w:rPr>
          <w:b/>
          <w:sz w:val="24"/>
          <w:lang w:val="el-GR"/>
        </w:rPr>
        <w:t>Ο φορέας υποδοχής και οι υπεύθυνοί του επέδειξαν πολύ καλές οργανωτικές και επικοινωνιακές δεξιότητες</w:t>
      </w:r>
      <w:r w:rsidRPr="00817D63">
        <w:rPr>
          <w:b/>
          <w:sz w:val="24"/>
          <w:lang w:val="el-GR"/>
        </w:rPr>
        <w:t xml:space="preserve"> (</w:t>
      </w:r>
      <w:r>
        <w:rPr>
          <w:b/>
          <w:sz w:val="24"/>
        </w:rPr>
        <w:t>Figure</w:t>
      </w:r>
      <w:r w:rsidR="00311F89">
        <w:rPr>
          <w:b/>
          <w:sz w:val="24"/>
          <w:lang w:val="el-GR"/>
        </w:rPr>
        <w:t xml:space="preserve"> </w:t>
      </w:r>
      <w:r>
        <w:rPr>
          <w:b/>
          <w:sz w:val="24"/>
          <w:lang w:val="el-GR"/>
        </w:rPr>
        <w:t>18), παρέχοντας εκπαιδευτικές διαδικασίες σε σύγχρονους χώρους πρακτικής και σύγχρονα μέσα (</w:t>
      </w:r>
      <w:r>
        <w:rPr>
          <w:b/>
          <w:sz w:val="24"/>
        </w:rPr>
        <w:t>Figure</w:t>
      </w:r>
      <w:r w:rsidR="00311F89">
        <w:rPr>
          <w:b/>
          <w:sz w:val="24"/>
          <w:lang w:val="el-GR"/>
        </w:rPr>
        <w:t xml:space="preserve"> 20 &amp; 21)</w:t>
      </w:r>
      <w:r w:rsidR="00311F89" w:rsidRPr="00311F89">
        <w:rPr>
          <w:b/>
          <w:sz w:val="24"/>
          <w:lang w:val="el-GR"/>
        </w:rPr>
        <w:t xml:space="preserve"> </w:t>
      </w:r>
      <w:r w:rsidR="00311F89">
        <w:rPr>
          <w:b/>
          <w:sz w:val="24"/>
          <w:lang w:val="el-GR"/>
        </w:rPr>
        <w:t>και αναδυκνείοντας με αυτό τον τρόπο την εμπειρία του φορέα σε ευρωπαϊκές κινητικότητες (</w:t>
      </w:r>
      <w:r w:rsidR="00311F89">
        <w:rPr>
          <w:b/>
          <w:sz w:val="24"/>
        </w:rPr>
        <w:t>Figure</w:t>
      </w:r>
      <w:r w:rsidR="00311F89">
        <w:rPr>
          <w:b/>
          <w:sz w:val="24"/>
          <w:lang w:val="el-GR"/>
        </w:rPr>
        <w:t xml:space="preserve"> 24). Ακόμα, υπήρξε άριστο κλίμα συνεργασίας και επικοινωνίας μεταξύ των συμμετεχόντων και των υπευθύνων του φορέα υποδοχής (</w:t>
      </w:r>
      <w:r w:rsidR="00311F89">
        <w:rPr>
          <w:b/>
          <w:sz w:val="24"/>
        </w:rPr>
        <w:t>Figure</w:t>
      </w:r>
      <w:r w:rsidR="00311F89">
        <w:rPr>
          <w:b/>
          <w:sz w:val="24"/>
          <w:lang w:val="el-GR"/>
        </w:rPr>
        <w:t xml:space="preserve"> 23), συμβάλλοντας στην ατομική δικτύωση των συμμετεχόντων με φορείς και ανθρώπους από τη χώρα υποδοχής (</w:t>
      </w:r>
      <w:r w:rsidR="00311F89">
        <w:rPr>
          <w:b/>
          <w:sz w:val="24"/>
        </w:rPr>
        <w:t>Figure</w:t>
      </w:r>
      <w:r w:rsidR="00311F89">
        <w:rPr>
          <w:b/>
          <w:sz w:val="24"/>
          <w:lang w:val="el-GR"/>
        </w:rPr>
        <w:t xml:space="preserve"> 25), κάτι το οποίο αποτέλεσε και έναν από τους στόχους του σχεδίου. Εντύπωση προκαλεί το γράφημα 22, όπου ενώ οι υπεύθυνοι πρακτικής που είχαν οριστεί από τον φορέα υποδοχής φαίνεται ότι ανταποκρίθηκαν πλήρως στις ανάγκες των καταρτιζομένων, 1 συμμετέχοντας δεν ικανοποιήθηκε. Τέλος, διαφαίνεται ότι το πρόγραμμα υλοποιήθηκε με γνώμονα την επαγγελματική εκπαίδευση και κατάρτιση των συμμετεχόντων (</w:t>
      </w:r>
      <w:r w:rsidR="00311F89">
        <w:rPr>
          <w:b/>
          <w:sz w:val="24"/>
        </w:rPr>
        <w:t>Figure</w:t>
      </w:r>
      <w:r w:rsidR="00311F89">
        <w:rPr>
          <w:b/>
          <w:sz w:val="24"/>
          <w:lang w:val="el-GR"/>
        </w:rPr>
        <w:t xml:space="preserve"> 19), με τον φορέα υποδοχής, γενικά, να ανταποκρίνεται πάρα πολύ καλά στις προσδοκίες των συμμετεχόντων (</w:t>
      </w:r>
      <w:r w:rsidR="00311F89">
        <w:rPr>
          <w:b/>
          <w:sz w:val="24"/>
        </w:rPr>
        <w:t>Figure</w:t>
      </w:r>
      <w:r w:rsidR="00311F89">
        <w:rPr>
          <w:b/>
          <w:sz w:val="24"/>
          <w:lang w:val="el-GR"/>
        </w:rPr>
        <w:t xml:space="preserve"> 26)</w:t>
      </w:r>
      <w:r w:rsidR="00D06E20">
        <w:rPr>
          <w:b/>
          <w:sz w:val="24"/>
          <w:lang w:val="el-GR"/>
        </w:rPr>
        <w:t>.</w:t>
      </w:r>
    </w:p>
    <w:p w:rsidR="00CC5850" w:rsidRDefault="00CC5850" w:rsidP="00AB76FB">
      <w:pPr>
        <w:jc w:val="center"/>
        <w:rPr>
          <w:b/>
          <w:sz w:val="36"/>
        </w:rPr>
      </w:pPr>
    </w:p>
    <w:p w:rsidR="001E4041" w:rsidRDefault="001E4041" w:rsidP="00AB76FB">
      <w:pPr>
        <w:jc w:val="center"/>
        <w:rPr>
          <w:b/>
          <w:sz w:val="36"/>
        </w:rPr>
      </w:pPr>
      <w:r w:rsidRPr="00194BEA">
        <w:rPr>
          <w:b/>
          <w:sz w:val="36"/>
          <w:lang w:val="el-GR"/>
        </w:rPr>
        <w:t>ΣΥΜΠΕΡΑΣΜΑΤΑ</w:t>
      </w:r>
    </w:p>
    <w:p w:rsidR="00CC5850" w:rsidRPr="00CC5850" w:rsidRDefault="00CC5850" w:rsidP="00AB76FB">
      <w:pPr>
        <w:jc w:val="center"/>
        <w:rPr>
          <w:b/>
          <w:sz w:val="36"/>
        </w:rPr>
      </w:pPr>
    </w:p>
    <w:p w:rsidR="00311F89" w:rsidRDefault="00311F89" w:rsidP="00311F89">
      <w:pPr>
        <w:jc w:val="both"/>
        <w:rPr>
          <w:noProof/>
          <w:sz w:val="28"/>
          <w:lang w:val="el-GR"/>
        </w:rPr>
      </w:pPr>
      <w:r w:rsidRPr="00B528D4">
        <w:rPr>
          <w:sz w:val="28"/>
          <w:lang w:val="el-GR"/>
        </w:rPr>
        <w:t xml:space="preserve">Από την παρούσα αξιολόγηση φαίνεται ότι το πρόγραμμα </w:t>
      </w:r>
      <w:r w:rsidRPr="00B528D4">
        <w:rPr>
          <w:noProof/>
          <w:sz w:val="28"/>
          <w:lang w:val="el-GR"/>
        </w:rPr>
        <w:t>«</w:t>
      </w:r>
      <w:r w:rsidRPr="00B528D4">
        <w:rPr>
          <w:i/>
          <w:noProof/>
          <w:sz w:val="28"/>
          <w:lang w:val="el-GR"/>
        </w:rPr>
        <w:t>Καινοτόμες προσεγγίσεις για τη βελτίωση δεξιοτήτων μαθητών Εσπερινής Επαγγελματικής Εκπαίδευσης</w:t>
      </w:r>
      <w:r w:rsidRPr="00B528D4">
        <w:rPr>
          <w:noProof/>
          <w:sz w:val="28"/>
          <w:lang w:val="el-GR"/>
        </w:rPr>
        <w:t xml:space="preserve">» το οποίο οργάνωσε και υλοποίησε το σχολείο μας ανταποκρίθηκε άριστα στο σκοπό και τους στόχους που είχαμε θεσπίσει κατά το σχεδιασμό του τη σχολική χρονιά 2018-2019. Οι συμμετέχοντες απέκτησαν ή/και βελτιώσαν γνώσεις και δεξιότητες, γενικές και στην ειδικότητα τους, αποκτώντας παράλληλα ευρωπαϊκή ταυτότητα και βελτιώνοντας την αυτοεικόνα τους. </w:t>
      </w:r>
      <w:r w:rsidR="00B528D4">
        <w:rPr>
          <w:noProof/>
          <w:sz w:val="28"/>
          <w:lang w:val="el-GR"/>
        </w:rPr>
        <w:t>Από την αξιολόγηση φαίνεται ότι υπήρξε κατάλληλος σχεδιασμός και ποιοτική υλοποίηση της κινητικότητας, ενώ η επιλογή του φορέα υποδοχής κρίνεται σωστή. Έμφαση χρειάζεται να δοθεί στα μελλοντικά προγράμματα κινητικότητας  στην ακόμα καλύτερη γλωσσική προετοιμασία των συμμετεχόντων, στη δημιουργία πιο εξατομικευμένων προγραμμάτων κατάρτισης διαμέσου της πρακτικής άσκησης και τέλος, στην παρακολούθηση των συμμετεχόντων κατά τη διάρκεια της κινητικότητας.</w:t>
      </w:r>
    </w:p>
    <w:p w:rsidR="00B528D4" w:rsidRDefault="00311F89" w:rsidP="00311F89">
      <w:pPr>
        <w:jc w:val="both"/>
        <w:rPr>
          <w:noProof/>
          <w:sz w:val="28"/>
          <w:lang w:val="el-GR"/>
        </w:rPr>
      </w:pPr>
      <w:r>
        <w:rPr>
          <w:noProof/>
          <w:sz w:val="28"/>
          <w:lang w:val="el-GR"/>
        </w:rPr>
        <w:t xml:space="preserve">Αποτελεί αδιαμφησβήτητο γεγονός ότι τα προγράμματα κινητικότητας </w:t>
      </w:r>
      <w:r>
        <w:rPr>
          <w:noProof/>
          <w:sz w:val="28"/>
        </w:rPr>
        <w:t>Erasmus</w:t>
      </w:r>
      <w:r w:rsidRPr="00311F89">
        <w:rPr>
          <w:noProof/>
          <w:sz w:val="28"/>
          <w:lang w:val="el-GR"/>
        </w:rPr>
        <w:t xml:space="preserve">+ </w:t>
      </w:r>
      <w:r>
        <w:rPr>
          <w:noProof/>
          <w:sz w:val="28"/>
          <w:lang w:val="el-GR"/>
        </w:rPr>
        <w:t>έχουν σημαντικά οφέλη τόσο προς τους συμμετέχοντες μαθητές μας τόσο και προς το σχολείο μας. Η πρακτική άσκηση των μαθητών μας σε σύγχρονους ευρωπαϊκούς χώρους, η γνωριμία με άλλους πολιτισμούς και κουλτούρες, η δυνατότητες ανάπτυξης της προσωπικότητας των μαθητών μας και οι νέες προοπτικές που ανοίγονται</w:t>
      </w:r>
      <w:r w:rsidR="00B528D4">
        <w:rPr>
          <w:noProof/>
          <w:sz w:val="28"/>
          <w:lang w:val="el-GR"/>
        </w:rPr>
        <w:t xml:space="preserve"> τόσο σε επίπεδο μαθητών όσο και σε επίπεδο σχολείου</w:t>
      </w:r>
      <w:r>
        <w:rPr>
          <w:noProof/>
          <w:sz w:val="28"/>
          <w:lang w:val="el-GR"/>
        </w:rPr>
        <w:t xml:space="preserve"> </w:t>
      </w:r>
      <w:r w:rsidR="00B528D4">
        <w:rPr>
          <w:noProof/>
          <w:sz w:val="28"/>
          <w:lang w:val="el-GR"/>
        </w:rPr>
        <w:t>αποτελούν τους άξονες που χρειάζεται η εκπαιδευτική κοινότητα του σχολείου μας στο όραμα που είχε θέσει:</w:t>
      </w:r>
    </w:p>
    <w:p w:rsidR="00311F89" w:rsidRDefault="00B528D4" w:rsidP="00311F89">
      <w:pPr>
        <w:jc w:val="both"/>
        <w:rPr>
          <w:b/>
          <w:noProof/>
          <w:sz w:val="28"/>
          <w:lang w:val="el-GR"/>
        </w:rPr>
      </w:pPr>
      <w:r w:rsidRPr="00B528D4">
        <w:rPr>
          <w:b/>
          <w:noProof/>
          <w:sz w:val="28"/>
          <w:lang w:val="el-GR"/>
        </w:rPr>
        <w:t xml:space="preserve">ενός ανοιχτού ευρωπαϊκού συνεργατικού σχολείου που προσπαθεί να </w:t>
      </w:r>
      <w:r>
        <w:rPr>
          <w:b/>
          <w:noProof/>
          <w:sz w:val="28"/>
          <w:lang w:val="el-GR"/>
        </w:rPr>
        <w:t xml:space="preserve">δώσει επιπλέον ευκαιρείες και να </w:t>
      </w:r>
      <w:r w:rsidRPr="00B528D4">
        <w:rPr>
          <w:b/>
          <w:noProof/>
          <w:sz w:val="28"/>
          <w:lang w:val="el-GR"/>
        </w:rPr>
        <w:t>ενισχύσει τους μαθητές του με υψηλές παροχές επαγγελματι</w:t>
      </w:r>
      <w:r>
        <w:rPr>
          <w:b/>
          <w:noProof/>
          <w:sz w:val="28"/>
          <w:lang w:val="el-GR"/>
        </w:rPr>
        <w:t xml:space="preserve">κές εκπαίδευσης και κατάρτισης για να </w:t>
      </w:r>
      <w:r w:rsidR="00CC5850">
        <w:rPr>
          <w:b/>
          <w:noProof/>
          <w:sz w:val="28"/>
          <w:lang w:val="el-GR"/>
        </w:rPr>
        <w:t xml:space="preserve">ενισχυθεί </w:t>
      </w:r>
      <w:r>
        <w:rPr>
          <w:b/>
          <w:noProof/>
          <w:sz w:val="28"/>
          <w:lang w:val="el-GR"/>
        </w:rPr>
        <w:t xml:space="preserve"> </w:t>
      </w:r>
      <w:r w:rsidR="00CC5850" w:rsidRPr="00CC5850">
        <w:rPr>
          <w:b/>
          <w:noProof/>
          <w:sz w:val="28"/>
          <w:lang w:val="el-GR"/>
        </w:rPr>
        <w:t xml:space="preserve">η </w:t>
      </w:r>
      <w:r w:rsidR="00CC5850" w:rsidRPr="00CC5850">
        <w:rPr>
          <w:b/>
          <w:noProof/>
          <w:sz w:val="28"/>
          <w:lang w:val="el-GR"/>
        </w:rPr>
        <w:lastRenderedPageBreak/>
        <w:t>απασχολησιμότητα και η ετοιμότητά τους να διαχειριστούν τα θέματα της σταδιοδρομίας τους σε όλες τις φάσεις των μεταβάσεων της ζωής τους</w:t>
      </w:r>
      <w:r w:rsidR="00CC5850">
        <w:rPr>
          <w:b/>
          <w:noProof/>
          <w:sz w:val="28"/>
          <w:lang w:val="el-GR"/>
        </w:rPr>
        <w:t>.</w:t>
      </w:r>
    </w:p>
    <w:p w:rsidR="00CC5850" w:rsidRPr="00CC5850" w:rsidRDefault="00CC5850" w:rsidP="00B528D4">
      <w:pPr>
        <w:jc w:val="right"/>
        <w:rPr>
          <w:b/>
          <w:noProof/>
          <w:sz w:val="28"/>
          <w:lang w:val="el-GR"/>
        </w:rPr>
      </w:pPr>
    </w:p>
    <w:p w:rsidR="00B528D4" w:rsidRDefault="00B528D4" w:rsidP="00B528D4">
      <w:pPr>
        <w:jc w:val="right"/>
        <w:rPr>
          <w:b/>
          <w:noProof/>
          <w:sz w:val="28"/>
          <w:lang w:val="el-GR"/>
        </w:rPr>
      </w:pPr>
      <w:r>
        <w:rPr>
          <w:b/>
          <w:noProof/>
          <w:sz w:val="28"/>
          <w:lang w:val="el-GR"/>
        </w:rPr>
        <w:t>Η διευθύντρια,</w:t>
      </w:r>
    </w:p>
    <w:p w:rsidR="00B528D4" w:rsidRPr="00B528D4" w:rsidRDefault="00B528D4" w:rsidP="00B528D4">
      <w:pPr>
        <w:jc w:val="right"/>
        <w:rPr>
          <w:b/>
          <w:sz w:val="28"/>
          <w:lang w:val="el-GR"/>
        </w:rPr>
      </w:pPr>
      <w:r>
        <w:rPr>
          <w:b/>
          <w:noProof/>
          <w:sz w:val="28"/>
          <w:lang w:val="el-GR"/>
        </w:rPr>
        <w:t>Εμμανουέλα Μανωλάκη</w:t>
      </w:r>
    </w:p>
    <w:sectPr w:rsidR="00B528D4" w:rsidRPr="00B528D4" w:rsidSect="00463FA1">
      <w:headerReference w:type="default"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84" w:rsidRDefault="008E1E84" w:rsidP="00AB671C">
      <w:pPr>
        <w:spacing w:after="0" w:line="240" w:lineRule="auto"/>
      </w:pPr>
      <w:r>
        <w:separator/>
      </w:r>
    </w:p>
  </w:endnote>
  <w:endnote w:type="continuationSeparator" w:id="1">
    <w:p w:rsidR="008E1E84" w:rsidRDefault="008E1E84" w:rsidP="00AB6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7610"/>
      <w:docPartObj>
        <w:docPartGallery w:val="Page Numbers (Bottom of Page)"/>
        <w:docPartUnique/>
      </w:docPartObj>
    </w:sdtPr>
    <w:sdtContent>
      <w:p w:rsidR="00463FA1" w:rsidRPr="00463FA1" w:rsidRDefault="00463FA1" w:rsidP="00463FA1">
        <w:pPr>
          <w:pStyle w:val="a5"/>
          <w:rPr>
            <w:lang w:val="el-GR"/>
          </w:rPr>
        </w:pPr>
        <w:r>
          <w:rPr>
            <w:lang w:val="el-GR"/>
          </w:rPr>
          <w:t xml:space="preserve">Εσπερινό Ε.Π.Α.Λ. Θήρας </w:t>
        </w:r>
      </w:p>
      <w:p w:rsidR="00463FA1" w:rsidRPr="00463FA1" w:rsidRDefault="00463FA1" w:rsidP="00463FA1">
        <w:pPr>
          <w:pStyle w:val="a5"/>
          <w:rPr>
            <w:lang w:val="el-GR"/>
          </w:rPr>
        </w:pPr>
        <w:r w:rsidRPr="00463FA1">
          <w:rPr>
            <w:lang w:val="el-GR"/>
          </w:rPr>
          <w:t>«Καινοτόμες προσεγγίσεις για τη βελτίωση δεξιοτήτων μαθητών Εσπερινής Επαγγελματικής Εκπαίδευσης»</w:t>
        </w:r>
        <w:r>
          <w:rPr>
            <w:lang w:val="el-GR"/>
          </w:rPr>
          <w:t xml:space="preserve"> με κωδικό 2019-1-</w:t>
        </w:r>
        <w:r>
          <w:t>EL</w:t>
        </w:r>
        <w:r w:rsidRPr="00463FA1">
          <w:rPr>
            <w:lang w:val="el-GR"/>
          </w:rPr>
          <w:t>01-</w:t>
        </w:r>
        <w:r>
          <w:t>KA</w:t>
        </w:r>
        <w:r w:rsidRPr="00463FA1">
          <w:rPr>
            <w:lang w:val="el-GR"/>
          </w:rPr>
          <w:t>102-0062397</w:t>
        </w:r>
      </w:p>
      <w:p w:rsidR="00463FA1" w:rsidRPr="00463FA1" w:rsidRDefault="00624802" w:rsidP="00463FA1">
        <w:pPr>
          <w:pStyle w:val="a5"/>
          <w:jc w:val="right"/>
        </w:pPr>
        <w:fldSimple w:instr=" PAGE   \* MERGEFORMAT ">
          <w:r w:rsidR="00925103">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84" w:rsidRDefault="008E1E84" w:rsidP="00AB671C">
      <w:pPr>
        <w:spacing w:after="0" w:line="240" w:lineRule="auto"/>
      </w:pPr>
      <w:r>
        <w:separator/>
      </w:r>
    </w:p>
  </w:footnote>
  <w:footnote w:type="continuationSeparator" w:id="1">
    <w:p w:rsidR="008E1E84" w:rsidRDefault="008E1E84" w:rsidP="00AB6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1C" w:rsidRDefault="00AB671C">
    <w:pPr>
      <w:pStyle w:val="a4"/>
    </w:pPr>
    <w:r>
      <w:rPr>
        <w:noProof/>
        <w:lang w:val="el-GR" w:eastAsia="el-GR"/>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-371475</wp:posOffset>
          </wp:positionV>
          <wp:extent cx="2638425" cy="742950"/>
          <wp:effectExtent l="19050" t="0" r="9525"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384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B54E1"/>
    <w:multiLevelType w:val="hybridMultilevel"/>
    <w:tmpl w:val="252083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60ACD"/>
    <w:rsid w:val="00044274"/>
    <w:rsid w:val="000C4161"/>
    <w:rsid w:val="000D15B7"/>
    <w:rsid w:val="00194BEA"/>
    <w:rsid w:val="001A1233"/>
    <w:rsid w:val="001E4041"/>
    <w:rsid w:val="002A5490"/>
    <w:rsid w:val="00311F89"/>
    <w:rsid w:val="003D3768"/>
    <w:rsid w:val="004059DC"/>
    <w:rsid w:val="00411B29"/>
    <w:rsid w:val="004356E8"/>
    <w:rsid w:val="004632EE"/>
    <w:rsid w:val="00463FA1"/>
    <w:rsid w:val="004A09DD"/>
    <w:rsid w:val="00506CA7"/>
    <w:rsid w:val="005B3F0D"/>
    <w:rsid w:val="005C3D17"/>
    <w:rsid w:val="00602AC9"/>
    <w:rsid w:val="00624802"/>
    <w:rsid w:val="006E4EBF"/>
    <w:rsid w:val="006F2629"/>
    <w:rsid w:val="00735A6E"/>
    <w:rsid w:val="007A1EA4"/>
    <w:rsid w:val="007A58CE"/>
    <w:rsid w:val="00817D63"/>
    <w:rsid w:val="00895748"/>
    <w:rsid w:val="008E1E84"/>
    <w:rsid w:val="00925103"/>
    <w:rsid w:val="00957A1D"/>
    <w:rsid w:val="00AB671C"/>
    <w:rsid w:val="00AB76FB"/>
    <w:rsid w:val="00B528D4"/>
    <w:rsid w:val="00B66CF6"/>
    <w:rsid w:val="00BD098C"/>
    <w:rsid w:val="00BD691C"/>
    <w:rsid w:val="00BD6CDC"/>
    <w:rsid w:val="00CA730C"/>
    <w:rsid w:val="00CC5850"/>
    <w:rsid w:val="00CD322B"/>
    <w:rsid w:val="00D06E20"/>
    <w:rsid w:val="00D14A43"/>
    <w:rsid w:val="00D21914"/>
    <w:rsid w:val="00D70FC5"/>
    <w:rsid w:val="00DA20AB"/>
    <w:rsid w:val="00DC20CE"/>
    <w:rsid w:val="00E57BDE"/>
    <w:rsid w:val="00E66BD7"/>
    <w:rsid w:val="00ED7C92"/>
    <w:rsid w:val="00F60ACD"/>
    <w:rsid w:val="00FA6F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0A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60ACD"/>
    <w:rPr>
      <w:rFonts w:ascii="Tahoma" w:hAnsi="Tahoma" w:cs="Tahoma"/>
      <w:sz w:val="16"/>
      <w:szCs w:val="16"/>
    </w:rPr>
  </w:style>
  <w:style w:type="paragraph" w:customStyle="1" w:styleId="Default">
    <w:name w:val="Default"/>
    <w:rsid w:val="00AB76FB"/>
    <w:pPr>
      <w:autoSpaceDE w:val="0"/>
      <w:autoSpaceDN w:val="0"/>
      <w:adjustRightInd w:val="0"/>
      <w:spacing w:after="0" w:line="240" w:lineRule="auto"/>
    </w:pPr>
    <w:rPr>
      <w:rFonts w:ascii="Calibri" w:hAnsi="Calibri" w:cs="Calibri"/>
      <w:color w:val="000000"/>
      <w:sz w:val="24"/>
      <w:szCs w:val="24"/>
      <w:lang w:val="el-GR"/>
    </w:rPr>
  </w:style>
  <w:style w:type="paragraph" w:styleId="a4">
    <w:name w:val="header"/>
    <w:basedOn w:val="a"/>
    <w:link w:val="Char0"/>
    <w:uiPriority w:val="99"/>
    <w:semiHidden/>
    <w:unhideWhenUsed/>
    <w:rsid w:val="00AB671C"/>
    <w:pPr>
      <w:tabs>
        <w:tab w:val="center" w:pos="4153"/>
        <w:tab w:val="right" w:pos="8306"/>
      </w:tabs>
      <w:spacing w:after="0" w:line="240" w:lineRule="auto"/>
    </w:pPr>
  </w:style>
  <w:style w:type="character" w:customStyle="1" w:styleId="Char0">
    <w:name w:val="Κεφαλίδα Char"/>
    <w:basedOn w:val="a0"/>
    <w:link w:val="a4"/>
    <w:uiPriority w:val="99"/>
    <w:semiHidden/>
    <w:rsid w:val="00AB671C"/>
  </w:style>
  <w:style w:type="paragraph" w:styleId="a5">
    <w:name w:val="footer"/>
    <w:basedOn w:val="a"/>
    <w:link w:val="Char1"/>
    <w:uiPriority w:val="99"/>
    <w:unhideWhenUsed/>
    <w:rsid w:val="00AB671C"/>
    <w:pPr>
      <w:tabs>
        <w:tab w:val="center" w:pos="4153"/>
        <w:tab w:val="right" w:pos="8306"/>
      </w:tabs>
      <w:spacing w:after="0" w:line="240" w:lineRule="auto"/>
    </w:pPr>
  </w:style>
  <w:style w:type="character" w:customStyle="1" w:styleId="Char1">
    <w:name w:val="Υποσέλιδο Char"/>
    <w:basedOn w:val="a0"/>
    <w:link w:val="a5"/>
    <w:uiPriority w:val="99"/>
    <w:rsid w:val="00AB671C"/>
  </w:style>
  <w:style w:type="paragraph" w:styleId="a6">
    <w:name w:val="caption"/>
    <w:basedOn w:val="a"/>
    <w:next w:val="a"/>
    <w:uiPriority w:val="35"/>
    <w:unhideWhenUsed/>
    <w:qFormat/>
    <w:rsid w:val="00DC20C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_____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________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________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_________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_________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_________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_________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_________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_________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_________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_________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_________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_________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_________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_________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_________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______________Microsoft_Office_Excel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Sheet1!$B$1</c:f>
              <c:strCache>
                <c:ptCount val="1"/>
                <c:pt idx="0">
                  <c:v>Φύλο Συμμετεχόντων</c:v>
                </c:pt>
              </c:strCache>
            </c:strRef>
          </c:tx>
          <c:cat>
            <c:strRef>
              <c:f>Sheet1!$A$2:$A$5</c:f>
              <c:strCache>
                <c:ptCount val="2"/>
                <c:pt idx="0">
                  <c:v>Γυναίκα</c:v>
                </c:pt>
                <c:pt idx="1">
                  <c:v>Άνδρας</c:v>
                </c:pt>
              </c:strCache>
            </c:strRef>
          </c:cat>
          <c:val>
            <c:numRef>
              <c:f>Sheet1!$B$2:$B$5</c:f>
              <c:numCache>
                <c:formatCode>General</c:formatCode>
                <c:ptCount val="4"/>
                <c:pt idx="0">
                  <c:v>14</c:v>
                </c:pt>
                <c:pt idx="1">
                  <c:v>4</c:v>
                </c:pt>
              </c:numCache>
            </c:numRef>
          </c:val>
        </c:ser>
        <c:firstSliceAng val="0"/>
      </c:pieChart>
    </c:plotArea>
    <c:legend>
      <c:legendPos val="r"/>
      <c:legendEntry>
        <c:idx val="2"/>
        <c:delete val="1"/>
      </c:legendEntry>
      <c:legendEntry>
        <c:idx val="3"/>
        <c:delete val="1"/>
      </c:legendEntry>
      <c:txPr>
        <a:bodyPr/>
        <a:lstStyle/>
        <a:p>
          <a:pPr>
            <a:defRPr lang="en-US"/>
          </a:pPr>
          <a:endParaRPr lang="el-GR"/>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5975495890882494"/>
          <c:y val="0.53025494424661856"/>
          <c:w val="0.27219934598339129"/>
          <c:h val="0.42303592624170389"/>
        </c:manualLayout>
      </c:layout>
      <c:doughnutChart>
        <c:varyColors val="1"/>
        <c:ser>
          <c:idx val="0"/>
          <c:order val="0"/>
          <c:tx>
            <c:strRef>
              <c:f>Sheet1!$B$1</c:f>
              <c:strCache>
                <c:ptCount val="1"/>
                <c:pt idx="0">
                  <c:v>Υπήρξε ενημέρωση για τους τρόπους διασφάλισης τόσο της ποιότητας όσο και της ασφάλειας μου κατά τη διάρκεια της υλοποίησης (έκτακτες περιστάσεις κινδύνου, τηλέφωνα επικοινωνίας κλπ.)</c:v>
                </c:pt>
              </c:strCache>
            </c:strRef>
          </c:tx>
          <c:dPt>
            <c:idx val="4"/>
            <c:explosion val="5"/>
          </c:dPt>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1</c:v>
                </c:pt>
                <c:pt idx="4">
                  <c:v>15</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title>
      <c:layout>
        <c:manualLayout>
          <c:xMode val="edge"/>
          <c:yMode val="edge"/>
          <c:x val="0.10385091068161942"/>
          <c:y val="4.0000000000000022E-2"/>
        </c:manualLayout>
      </c:layout>
      <c:txPr>
        <a:bodyPr/>
        <a:lstStyle/>
        <a:p>
          <a:pPr>
            <a:defRPr lang="en-US"/>
          </a:pPr>
          <a:endParaRPr lang="el-GR"/>
        </a:p>
      </c:txPr>
    </c:title>
    <c:plotArea>
      <c:layout>
        <c:manualLayout>
          <c:layoutTarget val="inner"/>
          <c:xMode val="edge"/>
          <c:yMode val="edge"/>
          <c:x val="0.26951813455750462"/>
          <c:y val="0.43783160322952758"/>
          <c:w val="0.28532818532818593"/>
          <c:h val="0.51141868512110644"/>
        </c:manualLayout>
      </c:layout>
      <c:doughnutChart>
        <c:varyColors val="1"/>
        <c:ser>
          <c:idx val="0"/>
          <c:order val="0"/>
          <c:tx>
            <c:strRef>
              <c:f>Sheet1!$B$1</c:f>
              <c:strCache>
                <c:ptCount val="1"/>
                <c:pt idx="0">
                  <c:v>Ενημερώθηκα πλήρως για το καθημερινό πρόγραμμα και τις επιχειρήσεις της πρακτικής μου άσκησης </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3</c:v>
                </c:pt>
                <c:pt idx="4">
                  <c:v>13</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7128427912028263"/>
          <c:y val="0.45628604382929672"/>
          <c:w val="0.27292464878671785"/>
          <c:h val="0.49296424452133775"/>
        </c:manualLayout>
      </c:layout>
      <c:doughnutChart>
        <c:varyColors val="1"/>
        <c:ser>
          <c:idx val="0"/>
          <c:order val="0"/>
          <c:tx>
            <c:strRef>
              <c:f>Sheet1!$B$1</c:f>
              <c:strCache>
                <c:ptCount val="1"/>
                <c:pt idx="0">
                  <c:v>Ενημερώθηκα πλήρως για το καθημερινό πρόγραμμα και τις επιχειρήσεις της πρακτικής μου άσκησης </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1</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7035420179550274"/>
          <c:y val="0.45492957746478907"/>
          <c:w val="0.27531106745252132"/>
          <c:h val="0.49342723004694838"/>
        </c:manualLayout>
      </c:layout>
      <c:doughnutChart>
        <c:varyColors val="1"/>
        <c:ser>
          <c:idx val="0"/>
          <c:order val="0"/>
          <c:tx>
            <c:strRef>
              <c:f>Sheet1!$B$1</c:f>
              <c:strCache>
                <c:ptCount val="1"/>
                <c:pt idx="0">
                  <c:v>Οι καθηγητές-συνοδοί ήτανε δίπλα μου σε κάθε βήμα κατά τη διάρκεια της υλοποίησης με γνώμονα την ασφάλεια μου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0</c:v>
                </c:pt>
                <c:pt idx="3">
                  <c:v>2</c:v>
                </c:pt>
                <c:pt idx="4">
                  <c:v>16</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Η συνεργασία μου με τους άλλους συμμετέχοντες κρίνεται άριστη</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1</c:v>
                </c:pt>
                <c:pt idx="4">
                  <c:v>15</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Η συμμετοχή μου ενίσχυσε την αίσθηση ότι είμαι μέλος της ευρωπαϊκής ένωσης</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4</c:v>
                </c:pt>
                <c:pt idx="4">
                  <c:v>12</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Η συμμετοχή μου βελτίωσε τις λεκτικές μου επικοινωνίες στην αγγλική γλώσσα</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1</c:v>
                </c:pt>
                <c:pt idx="3">
                  <c:v>3</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6558306717684438"/>
          <c:y val="0.50213009316327484"/>
          <c:w val="0.28346709673339027"/>
          <c:h val="0.45101154687932377"/>
        </c:manualLayout>
      </c:layout>
      <c:doughnutChart>
        <c:varyColors val="1"/>
        <c:ser>
          <c:idx val="0"/>
          <c:order val="0"/>
          <c:tx>
            <c:strRef>
              <c:f>Sheet1!$B$1</c:f>
              <c:strCache>
                <c:ptCount val="1"/>
                <c:pt idx="0">
                  <c:v>Η πρακτική άσκηση και οι εκπαιδευτικές δράσεις βοήθησαν στην απόκτηση νέων δεξιοτήτων και ικανοτήτων, γενικών και στην ειδικότητά μου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1</c:v>
                </c:pt>
                <c:pt idx="2">
                  <c:v>3</c:v>
                </c:pt>
                <c:pt idx="3">
                  <c:v>3</c:v>
                </c:pt>
                <c:pt idx="4">
                  <c:v>11</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347322183900567"/>
          <c:y val="0.43387622149837163"/>
          <c:w val="0.32878787878787941"/>
          <c:h val="0.51834961997828499"/>
        </c:manualLayout>
      </c:layout>
      <c:doughnutChart>
        <c:varyColors val="1"/>
        <c:ser>
          <c:idx val="0"/>
          <c:order val="0"/>
          <c:tx>
            <c:strRef>
              <c:f>Sheet1!$B$1</c:f>
              <c:strCache>
                <c:ptCount val="1"/>
                <c:pt idx="0">
                  <c:v>Οι εκπαιδευτικές δράσεις βοήθησαν στην απόκτηση νέων γνώσεων, γενικών και στην ειδικότητά μου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1</c:v>
                </c:pt>
                <c:pt idx="2">
                  <c:v>4</c:v>
                </c:pt>
                <c:pt idx="3">
                  <c:v>3</c:v>
                </c:pt>
                <c:pt idx="4">
                  <c:v>10</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Οι εκπαιδευτικές δράσεις βοήθησαν στην απόκτηση θετικής στάσης απέναντι στη διά βίου μάθηση</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2</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a:pPr>
            <a:r>
              <a:rPr lang="el-GR"/>
              <a:t>Ηλικία</a:t>
            </a:r>
            <a:endParaRPr lang="en-US"/>
          </a:p>
        </c:rich>
      </c:tx>
    </c:title>
    <c:plotArea>
      <c:layout/>
      <c:pieChart>
        <c:varyColors val="1"/>
        <c:ser>
          <c:idx val="0"/>
          <c:order val="0"/>
          <c:tx>
            <c:strRef>
              <c:f>Sheet1!$B$1</c:f>
              <c:strCache>
                <c:ptCount val="1"/>
                <c:pt idx="0">
                  <c:v>Ηλικία Συμμετεχόντων</c:v>
                </c:pt>
              </c:strCache>
            </c:strRef>
          </c:tx>
          <c:cat>
            <c:strRef>
              <c:f>Sheet1!$A$2:$A$6</c:f>
              <c:strCache>
                <c:ptCount val="5"/>
                <c:pt idx="0">
                  <c:v>Έως 26</c:v>
                </c:pt>
                <c:pt idx="1">
                  <c:v>26 -30</c:v>
                </c:pt>
                <c:pt idx="2">
                  <c:v>30 - άνω</c:v>
                </c:pt>
                <c:pt idx="3">
                  <c:v>40 - άνω</c:v>
                </c:pt>
                <c:pt idx="4">
                  <c:v>50 - άνω</c:v>
                </c:pt>
              </c:strCache>
            </c:strRef>
          </c:cat>
          <c:val>
            <c:numRef>
              <c:f>Sheet1!$B$2:$B$6</c:f>
              <c:numCache>
                <c:formatCode>General</c:formatCode>
                <c:ptCount val="5"/>
                <c:pt idx="0">
                  <c:v>1</c:v>
                </c:pt>
                <c:pt idx="1">
                  <c:v>2</c:v>
                </c:pt>
                <c:pt idx="2">
                  <c:v>4</c:v>
                </c:pt>
                <c:pt idx="3">
                  <c:v>3</c:v>
                </c:pt>
                <c:pt idx="4">
                  <c:v>8</c:v>
                </c:pt>
              </c:numCache>
            </c:numRef>
          </c:val>
        </c:ser>
        <c:firstSliceAng val="0"/>
      </c:pieChart>
    </c:plotArea>
    <c:legend>
      <c:legendPos val="r"/>
      <c:txPr>
        <a:bodyPr/>
        <a:lstStyle/>
        <a:p>
          <a:pPr>
            <a:defRPr lang="en-US"/>
          </a:pPr>
          <a:endParaRPr lang="el-GR"/>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Οι γνώσεις, δεξιότητες, στάσεις, εμπειρίες και γνωριμίες που απέκτησα μπορούν να ωφελήσουν  πρακτικά την καθημερινότητά μου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1</c:v>
                </c:pt>
                <c:pt idx="3">
                  <c:v>5</c:v>
                </c:pt>
                <c:pt idx="4">
                  <c:v>12</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Γενικά η κινητικότητα ανταποκρίθηκε στις προσδοκίες που είχα</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0</c:v>
                </c:pt>
                <c:pt idx="3">
                  <c:v>2</c:v>
                </c:pt>
                <c:pt idx="4">
                  <c:v>16</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Οι υπεύθυνοι του φορέα υποδοχής επέδειξαν άριστες οργανωτικές και επικοινωνιακές δεξιότητες</c:v>
                </c:pt>
              </c:strCache>
            </c:strRef>
          </c:tx>
          <c:cat>
            <c:strRef>
              <c:f>Sheet1!$A$2:$A$5</c:f>
              <c:strCache>
                <c:ptCount val="4"/>
                <c:pt idx="0">
                  <c:v>Καθόλου</c:v>
                </c:pt>
                <c:pt idx="1">
                  <c:v>Λίγο</c:v>
                </c:pt>
                <c:pt idx="2">
                  <c:v>Ικανοποιητικά</c:v>
                </c:pt>
                <c:pt idx="3">
                  <c:v>Πολύ</c:v>
                </c:pt>
              </c:strCache>
            </c:strRef>
          </c:cat>
          <c:val>
            <c:numRef>
              <c:f>Sheet1!$B$2:$B$6</c:f>
              <c:numCache>
                <c:formatCode>General</c:formatCode>
                <c:ptCount val="5"/>
                <c:pt idx="0">
                  <c:v>0</c:v>
                </c:pt>
                <c:pt idx="1">
                  <c:v>0</c:v>
                </c:pt>
                <c:pt idx="2">
                  <c:v>0</c:v>
                </c:pt>
                <c:pt idx="3">
                  <c:v>6</c:v>
                </c:pt>
                <c:pt idx="4">
                  <c:v>12</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Το πρόγραμμα υλοποιήθηκε με γνώμονα τη ποιοτική επαγγελματική εκπαίδευση και κατάρτιση και την ασφάλεια των συμμετεχόντων </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2</c:v>
                </c:pt>
                <c:pt idx="4">
                  <c:v>13</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 οργανισμός υποδοχής παρείχε υψηλή ποιότητα υπηρεσιών και εκπαίδευσης σε σύγχρονα περιβάλλον χώρους πρακτικής άσκησης</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6</c:v>
                </c:pt>
                <c:pt idx="4">
                  <c:v>9</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Τα εποπτικά μέσα του φορέα υποδοχής βοήθησαν στην ομαλή υλοποίηση του σχεδίου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1</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Οι υπεύθυνοι της πρακτικής άσκησης του φορέα υποδοχής ήτανε δίπλα μου σε κάθε βήμα</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1</c:v>
                </c:pt>
                <c:pt idx="2">
                  <c:v>2</c:v>
                </c:pt>
                <c:pt idx="3">
                  <c:v>1</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Υπήρξε κλίμα συνεργατικότητας και προσαρμοστικότητας</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2</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Διαφάνηκε η εμπειρία του φορέα στην υλοποίηση ευρωπαϊκών προγραμμάτων</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3</c:v>
                </c:pt>
                <c:pt idx="4">
                  <c:v>13</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Μου δόθηκε η δυνατότητα να αναπτύξω συνεργασία και επικοινωνία με φορείς και ανθρώπους από τη χώρα υποδοχής</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3</c:v>
                </c:pt>
                <c:pt idx="4">
                  <c:v>12</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lang="en-US"/>
            </a:pPr>
            <a:r>
              <a:rPr lang="el-GR"/>
              <a:t>Οικογενειακή</a:t>
            </a:r>
            <a:r>
              <a:rPr lang="el-GR" baseline="0"/>
              <a:t> Κατάσταση</a:t>
            </a:r>
            <a:endParaRPr lang="en-US"/>
          </a:p>
        </c:rich>
      </c:tx>
    </c:title>
    <c:plotArea>
      <c:layout/>
      <c:pieChart>
        <c:varyColors val="1"/>
        <c:ser>
          <c:idx val="0"/>
          <c:order val="0"/>
          <c:tx>
            <c:strRef>
              <c:f>Sheet1!$B$1</c:f>
              <c:strCache>
                <c:ptCount val="1"/>
                <c:pt idx="0">
                  <c:v>Sales</c:v>
                </c:pt>
              </c:strCache>
            </c:strRef>
          </c:tx>
          <c:cat>
            <c:strRef>
              <c:f>Sheet1!$A$2:$A$5</c:f>
              <c:strCache>
                <c:ptCount val="3"/>
                <c:pt idx="0">
                  <c:v>Έγγαμος/η</c:v>
                </c:pt>
                <c:pt idx="1">
                  <c:v>Άγαμος/η</c:v>
                </c:pt>
                <c:pt idx="2">
                  <c:v>Άλλο</c:v>
                </c:pt>
              </c:strCache>
            </c:strRef>
          </c:cat>
          <c:val>
            <c:numRef>
              <c:f>Sheet1!$B$2:$B$5</c:f>
              <c:numCache>
                <c:formatCode>General</c:formatCode>
                <c:ptCount val="4"/>
                <c:pt idx="0">
                  <c:v>7</c:v>
                </c:pt>
                <c:pt idx="1">
                  <c:v>7</c:v>
                </c:pt>
                <c:pt idx="2">
                  <c:v>4</c:v>
                </c:pt>
              </c:numCache>
            </c:numRef>
          </c:val>
        </c:ser>
        <c:firstSliceAng val="0"/>
      </c:pieChart>
    </c:plotArea>
    <c:legend>
      <c:legendPos val="r"/>
      <c:legendEntry>
        <c:idx val="3"/>
        <c:delete val="1"/>
      </c:legendEntry>
      <c:txPr>
        <a:bodyPr/>
        <a:lstStyle/>
        <a:p>
          <a:pPr>
            <a:defRPr lang="en-US"/>
          </a:pPr>
          <a:endParaRPr lang="el-GR"/>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Γενικά ο φορέας ανταποκρίθηκε στις προσδοκίες που είχα</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2</c:v>
                </c:pt>
                <c:pt idx="3">
                  <c:v>3</c:v>
                </c:pt>
                <c:pt idx="4">
                  <c:v>13</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pieChart>
        <c:varyColors val="1"/>
        <c:ser>
          <c:idx val="0"/>
          <c:order val="0"/>
          <c:tx>
            <c:strRef>
              <c:f>Sheet1!$B$1</c:f>
              <c:strCache>
                <c:ptCount val="1"/>
                <c:pt idx="0">
                  <c:v>Επαγγελματική Κατάσταση</c:v>
                </c:pt>
              </c:strCache>
            </c:strRef>
          </c:tx>
          <c:cat>
            <c:strRef>
              <c:f>Sheet1!$A$2:$A$5</c:f>
              <c:strCache>
                <c:ptCount val="4"/>
                <c:pt idx="0">
                  <c:v>Πλήρης Απασχόληση</c:v>
                </c:pt>
                <c:pt idx="1">
                  <c:v>Μερική Απασχόληση</c:v>
                </c:pt>
                <c:pt idx="2">
                  <c:v>Ελεύθερος Επαγγελματίας</c:v>
                </c:pt>
                <c:pt idx="3">
                  <c:v>Άλλο</c:v>
                </c:pt>
              </c:strCache>
            </c:strRef>
          </c:cat>
          <c:val>
            <c:numRef>
              <c:f>Sheet1!$B$2:$B$5</c:f>
              <c:numCache>
                <c:formatCode>General</c:formatCode>
                <c:ptCount val="4"/>
                <c:pt idx="0">
                  <c:v>7</c:v>
                </c:pt>
                <c:pt idx="1">
                  <c:v>3</c:v>
                </c:pt>
                <c:pt idx="2">
                  <c:v>4</c:v>
                </c:pt>
                <c:pt idx="3">
                  <c:v>3</c:v>
                </c:pt>
              </c:numCache>
            </c:numRef>
          </c:val>
        </c:ser>
        <c:firstSliceAng val="0"/>
      </c:pieChart>
    </c:plotArea>
    <c:legend>
      <c:legendPos val="r"/>
      <c:txPr>
        <a:bodyPr/>
        <a:lstStyle/>
        <a:p>
          <a:pPr>
            <a:defRPr lang="en-US"/>
          </a:pPr>
          <a:endParaRPr lang="el-G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6073601093980897"/>
          <c:y val="0.45035971223021581"/>
          <c:w val="0.30420168067226888"/>
          <c:h val="0.52086330935251757"/>
        </c:manualLayout>
      </c:layout>
      <c:doughnutChart>
        <c:varyColors val="1"/>
        <c:ser>
          <c:idx val="0"/>
          <c:order val="0"/>
          <c:tx>
            <c:strRef>
              <c:f>Sheet1!$B$1</c:f>
              <c:strCache>
                <c:ptCount val="1"/>
                <c:pt idx="0">
                  <c:v>Ενημερώθηκα για το σκοπό, τους στόχους και τα προσδοκώμενα αποτελέσματα του σχεδίου
</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1</c:v>
                </c:pt>
                <c:pt idx="3">
                  <c:v>3</c:v>
                </c:pt>
                <c:pt idx="4">
                  <c:v>14</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manualLayout>
          <c:layoutTarget val="inner"/>
          <c:xMode val="edge"/>
          <c:yMode val="edge"/>
          <c:x val="0.2655248770759564"/>
          <c:y val="0.47245283018867995"/>
          <c:w val="0.27321688500727898"/>
          <c:h val="0.47220125786163519"/>
        </c:manualLayout>
      </c:layout>
      <c:doughnutChart>
        <c:varyColors val="1"/>
        <c:ser>
          <c:idx val="0"/>
          <c:order val="0"/>
          <c:tx>
            <c:strRef>
              <c:f>Sheet1!$B$1</c:f>
              <c:strCache>
                <c:ptCount val="1"/>
                <c:pt idx="0">
                  <c:v>Υπήρξε η κατάλληλη γλωσσική προετοιμασία, γενικά και στην τεχνική ορολογία της ειδικότητάς μου</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2</c:v>
                </c:pt>
                <c:pt idx="2">
                  <c:v>5</c:v>
                </c:pt>
                <c:pt idx="3">
                  <c:v>6</c:v>
                </c:pt>
                <c:pt idx="4">
                  <c:v>5</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Υπήρξε η κατάλληλη πολιτισμική προετοιμασία</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1</c:v>
                </c:pt>
                <c:pt idx="3">
                  <c:v>6</c:v>
                </c:pt>
                <c:pt idx="4">
                  <c:v>11</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layout>
        <c:manualLayout>
          <c:xMode val="edge"/>
          <c:yMode val="edge"/>
          <c:x val="0.12046378570986979"/>
          <c:y val="0"/>
        </c:manualLayout>
      </c:layout>
      <c:txPr>
        <a:bodyPr/>
        <a:lstStyle/>
        <a:p>
          <a:pPr>
            <a:defRPr lang="en-US"/>
          </a:pPr>
          <a:endParaRPr lang="el-GR"/>
        </a:p>
      </c:txPr>
    </c:title>
    <c:plotArea>
      <c:layout>
        <c:manualLayout>
          <c:layoutTarget val="inner"/>
          <c:xMode val="edge"/>
          <c:yMode val="edge"/>
          <c:x val="0.26469012572571893"/>
          <c:y val="0.46864197530864266"/>
          <c:w val="0.27580299785867318"/>
          <c:h val="0.47703703703703704"/>
        </c:manualLayout>
      </c:layout>
      <c:doughnutChart>
        <c:varyColors val="1"/>
        <c:ser>
          <c:idx val="0"/>
          <c:order val="0"/>
          <c:tx>
            <c:strRef>
              <c:f>Sheet1!$B$1</c:f>
              <c:strCache>
                <c:ptCount val="1"/>
                <c:pt idx="0">
                  <c:v>Υπήρξε η κατάλληλη ενημέρωση του εκπαιδευτικού προγράμματος και των επισκέψεων που θα ακολουθούσαμε</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3</c:v>
                </c:pt>
                <c:pt idx="3">
                  <c:v>5</c:v>
                </c:pt>
                <c:pt idx="4">
                  <c:v>10</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lang="en-US"/>
          </a:pPr>
          <a:endParaRPr lang="el-GR"/>
        </a:p>
      </c:txPr>
    </c:title>
    <c:plotArea>
      <c:layout/>
      <c:doughnutChart>
        <c:varyColors val="1"/>
        <c:ser>
          <c:idx val="0"/>
          <c:order val="0"/>
          <c:tx>
            <c:strRef>
              <c:f>Sheet1!$B$1</c:f>
              <c:strCache>
                <c:ptCount val="1"/>
                <c:pt idx="0">
                  <c:v>Οι προπαρασκευαστικές συναντήσεις με τους υπευθύνους του φορέα υποδοχής βοήθησαν στην ομαλή ένταξη μου στην χώρα υποδοχής</c:v>
                </c:pt>
              </c:strCache>
            </c:strRef>
          </c:tx>
          <c:cat>
            <c:strRef>
              <c:f>Sheet1!$A$2:$A$6</c:f>
              <c:strCache>
                <c:ptCount val="5"/>
                <c:pt idx="0">
                  <c:v>Καθόλου</c:v>
                </c:pt>
                <c:pt idx="1">
                  <c:v>Λίγο</c:v>
                </c:pt>
                <c:pt idx="2">
                  <c:v>Ικανοποιητικά</c:v>
                </c:pt>
                <c:pt idx="3">
                  <c:v>Πολύ</c:v>
                </c:pt>
                <c:pt idx="4">
                  <c:v>Πάρα πολύ</c:v>
                </c:pt>
              </c:strCache>
            </c:strRef>
          </c:cat>
          <c:val>
            <c:numRef>
              <c:f>Sheet1!$B$2:$B$6</c:f>
              <c:numCache>
                <c:formatCode>General</c:formatCode>
                <c:ptCount val="5"/>
                <c:pt idx="0">
                  <c:v>0</c:v>
                </c:pt>
                <c:pt idx="1">
                  <c:v>0</c:v>
                </c:pt>
                <c:pt idx="2">
                  <c:v>1</c:v>
                </c:pt>
                <c:pt idx="3">
                  <c:v>5</c:v>
                </c:pt>
                <c:pt idx="4">
                  <c:v>12</c:v>
                </c:pt>
              </c:numCache>
            </c:numRef>
          </c:val>
        </c:ser>
        <c:firstSliceAng val="0"/>
        <c:holeSize val="50"/>
      </c:doughnutChart>
    </c:plotArea>
    <c:legend>
      <c:legendPos val="r"/>
      <c:txPr>
        <a:bodyPr/>
        <a:lstStyle/>
        <a:p>
          <a:pPr>
            <a:defRPr lang="en-US"/>
          </a:pPr>
          <a:endParaRPr lang="el-GR"/>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A7AF-E9AC-45A9-896D-89D7B3AA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1249</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StaSinoulini</dc:creator>
  <cp:lastModifiedBy>Antonis Sigalas</cp:lastModifiedBy>
  <cp:revision>2</cp:revision>
  <dcterms:created xsi:type="dcterms:W3CDTF">2020-09-03T07:17:00Z</dcterms:created>
  <dcterms:modified xsi:type="dcterms:W3CDTF">2020-09-03T07:17:00Z</dcterms:modified>
</cp:coreProperties>
</file>