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35" w:rsidRPr="00E41002" w:rsidRDefault="006A4535" w:rsidP="00CA6921">
      <w:pPr>
        <w:rPr>
          <w:rFonts w:ascii="Arial" w:hAnsi="Arial"/>
          <w:sz w:val="22"/>
          <w:lang w:val="el-GR"/>
        </w:rPr>
      </w:pPr>
    </w:p>
    <w:tbl>
      <w:tblPr>
        <w:tblW w:w="9215" w:type="dxa"/>
        <w:tblInd w:w="-426" w:type="dxa"/>
        <w:tblLayout w:type="fixed"/>
        <w:tblLook w:val="0000"/>
      </w:tblPr>
      <w:tblGrid>
        <w:gridCol w:w="4787"/>
        <w:gridCol w:w="992"/>
        <w:gridCol w:w="3436"/>
      </w:tblGrid>
      <w:tr w:rsidR="00F41529" w:rsidRPr="0026483D" w:rsidTr="00D223FA">
        <w:trPr>
          <w:trHeight w:val="3576"/>
        </w:trPr>
        <w:tc>
          <w:tcPr>
            <w:tcW w:w="4787" w:type="dxa"/>
            <w:vMerge w:val="restart"/>
          </w:tcPr>
          <w:p w:rsidR="00F4526E" w:rsidRPr="00AC0A98" w:rsidRDefault="00C234E5" w:rsidP="00CA6921">
            <w:pPr>
              <w:jc w:val="center"/>
              <w:rPr>
                <w:rFonts w:ascii="Arial" w:hAnsi="Arial"/>
                <w:b/>
                <w:sz w:val="22"/>
                <w:lang w:val="el-GR"/>
              </w:rPr>
            </w:pPr>
            <w:r>
              <w:rPr>
                <w:noProof/>
                <w:sz w:val="24"/>
                <w:lang w:val="el-GR"/>
              </w:rPr>
              <w:drawing>
                <wp:inline distT="0" distB="0" distL="0" distR="0">
                  <wp:extent cx="857885" cy="779896"/>
                  <wp:effectExtent l="0" t="0" r="5715"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58594" cy="780540"/>
                          </a:xfrm>
                          <a:prstGeom prst="rect">
                            <a:avLst/>
                          </a:prstGeom>
                          <a:noFill/>
                          <a:ln w="9525">
                            <a:noFill/>
                            <a:miter lim="800000"/>
                            <a:headEnd/>
                            <a:tailEnd/>
                          </a:ln>
                        </pic:spPr>
                      </pic:pic>
                    </a:graphicData>
                  </a:graphic>
                </wp:inline>
              </w:drawing>
            </w:r>
          </w:p>
          <w:p w:rsidR="00F41529" w:rsidRPr="007F0391" w:rsidRDefault="00F41529" w:rsidP="00CA6921">
            <w:pPr>
              <w:jc w:val="center"/>
              <w:rPr>
                <w:rFonts w:ascii="Verdana" w:hAnsi="Verdana"/>
                <w:b/>
                <w:sz w:val="22"/>
                <w:lang w:val="el-GR"/>
              </w:rPr>
            </w:pPr>
            <w:r w:rsidRPr="007F0391">
              <w:rPr>
                <w:rFonts w:ascii="Verdana" w:hAnsi="Verdana"/>
                <w:b/>
                <w:sz w:val="22"/>
                <w:lang w:val="el-GR"/>
              </w:rPr>
              <w:t>ΕΛΛΗΝΙΚΗ ΔΗΜΟΚΡΑΤΙΑ</w:t>
            </w:r>
          </w:p>
          <w:p w:rsidR="00F41529" w:rsidRPr="00F53C6C" w:rsidRDefault="0004408C" w:rsidP="00CA6921">
            <w:pPr>
              <w:jc w:val="center"/>
              <w:rPr>
                <w:rFonts w:ascii="Verdana" w:hAnsi="Verdana"/>
                <w:b/>
                <w:sz w:val="22"/>
                <w:lang w:val="el-GR"/>
              </w:rPr>
            </w:pPr>
            <w:r>
              <w:rPr>
                <w:rFonts w:ascii="Verdana" w:hAnsi="Verdana"/>
                <w:b/>
                <w:sz w:val="22"/>
                <w:lang w:val="el-GR"/>
              </w:rPr>
              <w:t>ΠΕΡΙΦΕΡΕΙΑ ΝΟΤΙΟΥ ΑΙΓΑΙΟΥ</w:t>
            </w:r>
          </w:p>
          <w:p w:rsidR="0004408C" w:rsidRPr="00F53C6C" w:rsidRDefault="0004408C" w:rsidP="009F53ED">
            <w:pPr>
              <w:jc w:val="center"/>
              <w:rPr>
                <w:rFonts w:ascii="Verdana" w:hAnsi="Verdana"/>
                <w:b/>
                <w:i/>
                <w:sz w:val="22"/>
                <w:szCs w:val="22"/>
                <w:lang w:val="el-GR"/>
              </w:rPr>
            </w:pPr>
          </w:p>
          <w:p w:rsidR="005D60A8" w:rsidRPr="007E5C64" w:rsidRDefault="005D60A8" w:rsidP="00CA6921">
            <w:pPr>
              <w:jc w:val="center"/>
              <w:rPr>
                <w:rFonts w:ascii="Verdana" w:hAnsi="Verdana"/>
                <w:lang w:val="el-GR"/>
              </w:rPr>
            </w:pPr>
          </w:p>
          <w:p w:rsidR="00F41529" w:rsidRPr="00BE2E44" w:rsidRDefault="00F41529" w:rsidP="00CA6921">
            <w:pPr>
              <w:rPr>
                <w:rFonts w:ascii="Verdana" w:hAnsi="Verdana"/>
                <w:sz w:val="22"/>
                <w:lang w:val="el-GR"/>
              </w:rPr>
            </w:pPr>
          </w:p>
          <w:p w:rsidR="00F41529" w:rsidRPr="006335F2" w:rsidRDefault="006335F2" w:rsidP="00CA6921">
            <w:pPr>
              <w:rPr>
                <w:rFonts w:ascii="Verdana" w:hAnsi="Verdana"/>
                <w:sz w:val="16"/>
                <w:szCs w:val="16"/>
                <w:lang w:val="el-GR"/>
              </w:rPr>
            </w:pPr>
            <w:r>
              <w:rPr>
                <w:rFonts w:ascii="Verdana" w:hAnsi="Verdana"/>
                <w:sz w:val="16"/>
                <w:szCs w:val="16"/>
                <w:lang w:val="el-GR"/>
              </w:rPr>
              <w:t xml:space="preserve">Πληροφορίες: </w:t>
            </w:r>
            <w:r w:rsidR="00F41529" w:rsidRPr="006335F2">
              <w:rPr>
                <w:rFonts w:ascii="Verdana" w:hAnsi="Verdana"/>
                <w:sz w:val="16"/>
                <w:szCs w:val="16"/>
                <w:lang w:val="el-GR"/>
              </w:rPr>
              <w:t>Π. Βενέρης</w:t>
            </w:r>
          </w:p>
          <w:p w:rsidR="00F41529" w:rsidRPr="006335F2" w:rsidRDefault="00F41529" w:rsidP="00CA6921">
            <w:pPr>
              <w:rPr>
                <w:rFonts w:ascii="Verdana" w:hAnsi="Verdana"/>
                <w:sz w:val="16"/>
                <w:szCs w:val="16"/>
                <w:lang w:val="el-GR"/>
              </w:rPr>
            </w:pPr>
            <w:r w:rsidRPr="006335F2">
              <w:rPr>
                <w:rFonts w:ascii="Verdana" w:hAnsi="Verdana"/>
                <w:sz w:val="16"/>
                <w:szCs w:val="16"/>
                <w:lang w:val="el-GR"/>
              </w:rPr>
              <w:t>Τ</w:t>
            </w:r>
            <w:r w:rsidR="006335F2">
              <w:rPr>
                <w:rFonts w:ascii="Verdana" w:hAnsi="Verdana"/>
                <w:sz w:val="16"/>
                <w:szCs w:val="16"/>
                <w:lang w:val="el-GR"/>
              </w:rPr>
              <w:t>ηλ. :22413</w:t>
            </w:r>
            <w:r w:rsidR="009F53ED" w:rsidRPr="006335F2">
              <w:rPr>
                <w:rFonts w:ascii="Verdana" w:hAnsi="Verdana"/>
                <w:sz w:val="16"/>
                <w:szCs w:val="16"/>
                <w:lang w:val="el-GR"/>
              </w:rPr>
              <w:t>64753</w:t>
            </w:r>
          </w:p>
          <w:p w:rsidR="00685A65" w:rsidRPr="006335F2" w:rsidRDefault="00685A65" w:rsidP="00CA6921">
            <w:pPr>
              <w:rPr>
                <w:rFonts w:ascii="Verdana" w:hAnsi="Verdana"/>
                <w:sz w:val="16"/>
                <w:szCs w:val="16"/>
                <w:lang w:val="el-GR"/>
              </w:rPr>
            </w:pPr>
            <w:r w:rsidRPr="006335F2">
              <w:rPr>
                <w:rFonts w:ascii="Verdana" w:hAnsi="Verdana"/>
                <w:sz w:val="16"/>
                <w:szCs w:val="16"/>
                <w:lang w:val="en-US"/>
              </w:rPr>
              <w:t>Fax</w:t>
            </w:r>
            <w:r w:rsidR="006335F2">
              <w:rPr>
                <w:rFonts w:ascii="Verdana" w:hAnsi="Verdana"/>
                <w:sz w:val="16"/>
                <w:szCs w:val="16"/>
                <w:lang w:val="en-US"/>
              </w:rPr>
              <w:t>:</w:t>
            </w:r>
            <w:r w:rsidR="006335F2">
              <w:rPr>
                <w:rFonts w:ascii="Verdana" w:hAnsi="Verdana"/>
                <w:sz w:val="16"/>
                <w:szCs w:val="16"/>
                <w:lang w:val="el-GR"/>
              </w:rPr>
              <w:t>22413</w:t>
            </w:r>
            <w:r w:rsidR="00500E2E" w:rsidRPr="006335F2">
              <w:rPr>
                <w:rFonts w:ascii="Verdana" w:hAnsi="Verdana"/>
                <w:sz w:val="16"/>
                <w:szCs w:val="16"/>
                <w:lang w:val="el-GR"/>
              </w:rPr>
              <w:t>64718</w:t>
            </w:r>
          </w:p>
          <w:p w:rsidR="009F53ED" w:rsidRPr="006335F2" w:rsidRDefault="007F0391" w:rsidP="00CA6921">
            <w:pPr>
              <w:rPr>
                <w:rFonts w:ascii="Verdana" w:hAnsi="Verdana"/>
                <w:color w:val="0000FF"/>
                <w:sz w:val="16"/>
                <w:szCs w:val="16"/>
                <w:u w:val="single"/>
                <w:lang w:val="el-GR"/>
              </w:rPr>
            </w:pPr>
            <w:r w:rsidRPr="006335F2">
              <w:rPr>
                <w:rFonts w:ascii="Verdana" w:hAnsi="Verdana"/>
                <w:sz w:val="16"/>
                <w:szCs w:val="16"/>
                <w:lang w:val="en-US"/>
              </w:rPr>
              <w:t>Email</w:t>
            </w:r>
            <w:r w:rsidRPr="006335F2">
              <w:rPr>
                <w:rFonts w:ascii="Verdana" w:hAnsi="Verdana"/>
                <w:sz w:val="16"/>
                <w:szCs w:val="16"/>
                <w:lang w:val="el-GR"/>
              </w:rPr>
              <w:t>:</w:t>
            </w:r>
            <w:hyperlink r:id="rId9" w:history="1">
              <w:r w:rsidR="00EC42FE" w:rsidRPr="006335F2">
                <w:rPr>
                  <w:rStyle w:val="-"/>
                  <w:rFonts w:ascii="Verdana" w:hAnsi="Verdana"/>
                  <w:sz w:val="16"/>
                  <w:szCs w:val="16"/>
                </w:rPr>
                <w:t>p</w:t>
              </w:r>
              <w:r w:rsidR="00EC42FE" w:rsidRPr="006335F2">
                <w:rPr>
                  <w:rStyle w:val="-"/>
                  <w:rFonts w:ascii="Verdana" w:hAnsi="Verdana"/>
                  <w:sz w:val="16"/>
                  <w:szCs w:val="16"/>
                  <w:lang w:val="el-GR"/>
                </w:rPr>
                <w:t>.</w:t>
              </w:r>
              <w:r w:rsidR="00EC42FE" w:rsidRPr="006335F2">
                <w:rPr>
                  <w:rStyle w:val="-"/>
                  <w:rFonts w:ascii="Verdana" w:hAnsi="Verdana"/>
                  <w:sz w:val="16"/>
                  <w:szCs w:val="16"/>
                </w:rPr>
                <w:t>veneris</w:t>
              </w:r>
              <w:r w:rsidR="00EC42FE" w:rsidRPr="006335F2">
                <w:rPr>
                  <w:rStyle w:val="-"/>
                  <w:rFonts w:ascii="Verdana" w:hAnsi="Verdana"/>
                  <w:sz w:val="16"/>
                  <w:szCs w:val="16"/>
                  <w:lang w:val="el-GR"/>
                </w:rPr>
                <w:t>@</w:t>
              </w:r>
              <w:r w:rsidR="00EC42FE" w:rsidRPr="006335F2">
                <w:rPr>
                  <w:rStyle w:val="-"/>
                  <w:rFonts w:ascii="Verdana" w:hAnsi="Verdana"/>
                  <w:sz w:val="16"/>
                  <w:szCs w:val="16"/>
                </w:rPr>
                <w:t>rho</w:t>
              </w:r>
              <w:r w:rsidR="00EC42FE" w:rsidRPr="006335F2">
                <w:rPr>
                  <w:rStyle w:val="-"/>
                  <w:rFonts w:ascii="Verdana" w:hAnsi="Verdana"/>
                  <w:sz w:val="16"/>
                  <w:szCs w:val="16"/>
                  <w:lang w:val="el-GR"/>
                </w:rPr>
                <w:t>.</w:t>
              </w:r>
              <w:r w:rsidR="00EC42FE" w:rsidRPr="006335F2">
                <w:rPr>
                  <w:rStyle w:val="-"/>
                  <w:rFonts w:ascii="Verdana" w:hAnsi="Verdana"/>
                  <w:sz w:val="16"/>
                  <w:szCs w:val="16"/>
                </w:rPr>
                <w:t>pnai</w:t>
              </w:r>
              <w:r w:rsidR="00EC42FE" w:rsidRPr="006335F2">
                <w:rPr>
                  <w:rStyle w:val="-"/>
                  <w:rFonts w:ascii="Verdana" w:hAnsi="Verdana"/>
                  <w:sz w:val="16"/>
                  <w:szCs w:val="16"/>
                  <w:lang w:val="el-GR"/>
                </w:rPr>
                <w:t>.</w:t>
              </w:r>
              <w:r w:rsidR="00EC42FE" w:rsidRPr="006335F2">
                <w:rPr>
                  <w:rStyle w:val="-"/>
                  <w:rFonts w:ascii="Verdana" w:hAnsi="Verdana"/>
                  <w:sz w:val="16"/>
                  <w:szCs w:val="16"/>
                </w:rPr>
                <w:t>gov</w:t>
              </w:r>
              <w:r w:rsidR="00EC42FE" w:rsidRPr="006335F2">
                <w:rPr>
                  <w:rStyle w:val="-"/>
                  <w:rFonts w:ascii="Verdana" w:hAnsi="Verdana"/>
                  <w:sz w:val="16"/>
                  <w:szCs w:val="16"/>
                  <w:lang w:val="el-GR"/>
                </w:rPr>
                <w:t>.</w:t>
              </w:r>
              <w:r w:rsidR="00EC42FE" w:rsidRPr="006335F2">
                <w:rPr>
                  <w:rStyle w:val="-"/>
                  <w:rFonts w:ascii="Verdana" w:hAnsi="Verdana"/>
                  <w:sz w:val="16"/>
                  <w:szCs w:val="16"/>
                </w:rPr>
                <w:t>gr</w:t>
              </w:r>
            </w:hyperlink>
          </w:p>
          <w:p w:rsidR="00EC42FE" w:rsidRPr="006335F2" w:rsidRDefault="00A1624E" w:rsidP="009F53ED">
            <w:pPr>
              <w:rPr>
                <w:rFonts w:ascii="Verdana" w:hAnsi="Verdana"/>
                <w:sz w:val="16"/>
                <w:szCs w:val="16"/>
              </w:rPr>
            </w:pPr>
            <w:hyperlink r:id="rId10" w:history="1">
              <w:r w:rsidR="009F53ED" w:rsidRPr="006335F2">
                <w:rPr>
                  <w:rStyle w:val="-"/>
                  <w:rFonts w:ascii="Verdana" w:hAnsi="Verdana"/>
                  <w:sz w:val="16"/>
                  <w:szCs w:val="16"/>
                </w:rPr>
                <w:t>gd.anaptixis@pnai.gov.gr</w:t>
              </w:r>
            </w:hyperlink>
          </w:p>
          <w:p w:rsidR="009F53ED" w:rsidRPr="001303B8" w:rsidRDefault="009F53ED" w:rsidP="009F53ED">
            <w:pPr>
              <w:rPr>
                <w:rFonts w:ascii="Verdana" w:hAnsi="Verdana"/>
                <w:sz w:val="22"/>
                <w:szCs w:val="22"/>
              </w:rPr>
            </w:pPr>
          </w:p>
        </w:tc>
        <w:tc>
          <w:tcPr>
            <w:tcW w:w="992" w:type="dxa"/>
          </w:tcPr>
          <w:p w:rsidR="00F41529" w:rsidRPr="007F0391" w:rsidRDefault="00F41529" w:rsidP="00CA6921">
            <w:pPr>
              <w:jc w:val="both"/>
              <w:rPr>
                <w:rFonts w:ascii="Verdana" w:hAnsi="Verdana"/>
                <w:sz w:val="22"/>
                <w:lang w:val="en-US"/>
              </w:rPr>
            </w:pPr>
          </w:p>
          <w:p w:rsidR="00F41529" w:rsidRPr="007F0391" w:rsidRDefault="00F41529" w:rsidP="00CA6921">
            <w:pPr>
              <w:jc w:val="both"/>
              <w:rPr>
                <w:rFonts w:ascii="Verdana" w:hAnsi="Verdana"/>
                <w:sz w:val="22"/>
                <w:lang w:val="en-US"/>
              </w:rPr>
            </w:pPr>
          </w:p>
          <w:p w:rsidR="00F41529" w:rsidRPr="007F0391" w:rsidRDefault="00F41529" w:rsidP="00CA6921">
            <w:pPr>
              <w:jc w:val="both"/>
              <w:rPr>
                <w:rFonts w:ascii="Verdana" w:hAnsi="Verdana"/>
                <w:sz w:val="22"/>
                <w:lang w:val="en-US"/>
              </w:rPr>
            </w:pPr>
          </w:p>
          <w:p w:rsidR="00F41529" w:rsidRPr="007F0391" w:rsidRDefault="00F41529" w:rsidP="00CA6921">
            <w:pPr>
              <w:jc w:val="both"/>
              <w:rPr>
                <w:rFonts w:ascii="Verdana" w:hAnsi="Verdana"/>
                <w:sz w:val="22"/>
                <w:lang w:val="en-US"/>
              </w:rPr>
            </w:pPr>
          </w:p>
          <w:p w:rsidR="00F41529" w:rsidRPr="007F0391" w:rsidRDefault="00F41529" w:rsidP="00CA6921">
            <w:pPr>
              <w:jc w:val="both"/>
              <w:rPr>
                <w:rFonts w:ascii="Verdana" w:hAnsi="Verdana"/>
                <w:sz w:val="22"/>
                <w:lang w:val="en-US"/>
              </w:rPr>
            </w:pPr>
          </w:p>
          <w:p w:rsidR="00F41529" w:rsidRPr="007F0391" w:rsidRDefault="00F41529" w:rsidP="00CA6921">
            <w:pPr>
              <w:jc w:val="both"/>
              <w:rPr>
                <w:rFonts w:ascii="Verdana" w:hAnsi="Verdana"/>
                <w:sz w:val="22"/>
                <w:lang w:val="en-US"/>
              </w:rPr>
            </w:pPr>
          </w:p>
          <w:p w:rsidR="00F4526E" w:rsidRPr="007F0391" w:rsidRDefault="00F4526E" w:rsidP="00CA6921">
            <w:pPr>
              <w:jc w:val="both"/>
              <w:rPr>
                <w:rFonts w:ascii="Verdana" w:hAnsi="Verdana"/>
                <w:sz w:val="22"/>
                <w:lang w:val="en-US"/>
              </w:rPr>
            </w:pPr>
          </w:p>
          <w:p w:rsidR="00F4526E" w:rsidRPr="007F0391" w:rsidRDefault="00F4526E" w:rsidP="00CA6921">
            <w:pPr>
              <w:jc w:val="both"/>
              <w:rPr>
                <w:rFonts w:ascii="Verdana" w:hAnsi="Verdana"/>
                <w:sz w:val="22"/>
                <w:lang w:val="en-US"/>
              </w:rPr>
            </w:pPr>
          </w:p>
          <w:p w:rsidR="00F4526E" w:rsidRPr="007F0391" w:rsidRDefault="00F4526E" w:rsidP="00CA6921">
            <w:pPr>
              <w:jc w:val="both"/>
              <w:rPr>
                <w:rFonts w:ascii="Verdana" w:hAnsi="Verdana"/>
                <w:sz w:val="22"/>
                <w:lang w:val="en-US"/>
              </w:rPr>
            </w:pPr>
          </w:p>
          <w:p w:rsidR="00766843" w:rsidRPr="00766843" w:rsidRDefault="008946B1" w:rsidP="00CA6921">
            <w:pPr>
              <w:jc w:val="both"/>
              <w:rPr>
                <w:rFonts w:ascii="Verdana" w:hAnsi="Verdana"/>
                <w:sz w:val="22"/>
                <w:lang w:val="en-US"/>
              </w:rPr>
            </w:pPr>
            <w:r w:rsidRPr="007F0391">
              <w:rPr>
                <w:rFonts w:ascii="Verdana" w:hAnsi="Verdana"/>
                <w:sz w:val="22"/>
                <w:lang w:val="el-GR"/>
              </w:rPr>
              <w:t>Προς:</w:t>
            </w:r>
          </w:p>
          <w:p w:rsidR="00766843" w:rsidRPr="00766843" w:rsidRDefault="00766843" w:rsidP="00CA6921">
            <w:pPr>
              <w:jc w:val="both"/>
              <w:rPr>
                <w:rFonts w:ascii="Verdana" w:hAnsi="Verdana"/>
                <w:sz w:val="22"/>
                <w:lang w:val="en-US"/>
              </w:rPr>
            </w:pPr>
          </w:p>
        </w:tc>
        <w:tc>
          <w:tcPr>
            <w:tcW w:w="3436" w:type="dxa"/>
          </w:tcPr>
          <w:p w:rsidR="00F41529" w:rsidRPr="007F0391" w:rsidRDefault="00F41529" w:rsidP="00CA6921">
            <w:pPr>
              <w:jc w:val="both"/>
              <w:rPr>
                <w:rFonts w:ascii="Verdana" w:hAnsi="Verdana"/>
                <w:sz w:val="22"/>
                <w:lang w:val="el-GR"/>
              </w:rPr>
            </w:pPr>
          </w:p>
          <w:p w:rsidR="00F4526E" w:rsidRPr="00E94E47" w:rsidRDefault="00F4526E" w:rsidP="00CA6921">
            <w:pPr>
              <w:jc w:val="both"/>
              <w:rPr>
                <w:rFonts w:ascii="Verdana" w:hAnsi="Verdana"/>
                <w:sz w:val="22"/>
                <w:lang w:val="el-GR"/>
              </w:rPr>
            </w:pPr>
          </w:p>
          <w:p w:rsidR="00F4526E" w:rsidRPr="00E94E47" w:rsidRDefault="00F4526E" w:rsidP="00CA6921">
            <w:pPr>
              <w:jc w:val="both"/>
              <w:rPr>
                <w:rFonts w:ascii="Verdana" w:hAnsi="Verdana"/>
                <w:sz w:val="22"/>
                <w:lang w:val="el-GR"/>
              </w:rPr>
            </w:pPr>
          </w:p>
          <w:p w:rsidR="00AE2B61" w:rsidRPr="007F0391" w:rsidRDefault="00AE2B61" w:rsidP="00CA6921">
            <w:pPr>
              <w:jc w:val="both"/>
              <w:rPr>
                <w:rFonts w:ascii="Verdana" w:hAnsi="Verdana"/>
                <w:sz w:val="22"/>
                <w:lang w:val="el-GR"/>
              </w:rPr>
            </w:pPr>
            <w:r w:rsidRPr="007F0391">
              <w:rPr>
                <w:rFonts w:ascii="Verdana" w:hAnsi="Verdana"/>
                <w:sz w:val="22"/>
                <w:lang w:val="el-GR"/>
              </w:rPr>
              <w:t>Ρόδος</w:t>
            </w:r>
            <w:r w:rsidR="009F3B33">
              <w:rPr>
                <w:rFonts w:ascii="Verdana" w:hAnsi="Verdana"/>
                <w:sz w:val="22"/>
                <w:lang w:val="el-GR"/>
              </w:rPr>
              <w:t>, 3 Σεπτεμβρίου 2020</w:t>
            </w:r>
          </w:p>
          <w:p w:rsidR="006335F2" w:rsidRPr="000D690C" w:rsidRDefault="006335F2" w:rsidP="006335F2">
            <w:pPr>
              <w:jc w:val="both"/>
              <w:rPr>
                <w:rFonts w:ascii="Verdana" w:hAnsi="Verdana"/>
                <w:sz w:val="22"/>
                <w:lang w:val="el-GR"/>
              </w:rPr>
            </w:pPr>
            <w:r w:rsidRPr="007F0391">
              <w:rPr>
                <w:rFonts w:ascii="Verdana" w:hAnsi="Verdana"/>
                <w:sz w:val="22"/>
                <w:lang w:val="el-GR"/>
              </w:rPr>
              <w:t>Αρ. Πρ</w:t>
            </w:r>
            <w:r>
              <w:rPr>
                <w:rFonts w:ascii="Verdana" w:hAnsi="Verdana"/>
                <w:sz w:val="22"/>
                <w:lang w:val="el-GR"/>
              </w:rPr>
              <w:t>ωτ</w:t>
            </w:r>
            <w:r w:rsidRPr="007F0391">
              <w:rPr>
                <w:rFonts w:ascii="Verdana" w:hAnsi="Verdana"/>
                <w:sz w:val="22"/>
                <w:lang w:val="el-GR"/>
              </w:rPr>
              <w:t>.</w:t>
            </w:r>
            <w:r>
              <w:rPr>
                <w:rFonts w:ascii="Verdana" w:hAnsi="Verdana"/>
                <w:sz w:val="22"/>
                <w:lang w:val="el-GR"/>
              </w:rPr>
              <w:t xml:space="preserve">: </w:t>
            </w:r>
            <w:r w:rsidR="00A12279">
              <w:rPr>
                <w:rFonts w:ascii="Verdana" w:hAnsi="Verdana"/>
                <w:sz w:val="22"/>
                <w:lang w:val="el-GR"/>
              </w:rPr>
              <w:t>1852</w:t>
            </w:r>
            <w:bookmarkStart w:id="0" w:name="_GoBack"/>
            <w:bookmarkEnd w:id="0"/>
          </w:p>
          <w:p w:rsidR="00F53C6C" w:rsidRDefault="00F53C6C" w:rsidP="00CA6921">
            <w:pPr>
              <w:jc w:val="both"/>
              <w:rPr>
                <w:rFonts w:ascii="Verdana" w:hAnsi="Verdana"/>
                <w:sz w:val="22"/>
                <w:lang w:val="el-GR"/>
              </w:rPr>
            </w:pPr>
          </w:p>
          <w:p w:rsidR="00AE2B61" w:rsidRPr="000D690C" w:rsidRDefault="00AE2B61" w:rsidP="00CA6921">
            <w:pPr>
              <w:jc w:val="both"/>
              <w:rPr>
                <w:rFonts w:ascii="Verdana" w:hAnsi="Verdana"/>
                <w:sz w:val="22"/>
                <w:lang w:val="el-GR"/>
              </w:rPr>
            </w:pPr>
          </w:p>
          <w:p w:rsidR="00766843" w:rsidRPr="000D690C" w:rsidRDefault="00766843" w:rsidP="00CA6921">
            <w:pPr>
              <w:jc w:val="both"/>
              <w:rPr>
                <w:rFonts w:ascii="Verdana" w:hAnsi="Verdana"/>
                <w:sz w:val="22"/>
                <w:lang w:val="el-GR"/>
              </w:rPr>
            </w:pPr>
          </w:p>
          <w:p w:rsidR="00766843" w:rsidRPr="000D690C" w:rsidRDefault="00766843" w:rsidP="00CA6921">
            <w:pPr>
              <w:jc w:val="both"/>
              <w:rPr>
                <w:rFonts w:ascii="Verdana" w:hAnsi="Verdana"/>
                <w:sz w:val="22"/>
                <w:lang w:val="el-GR"/>
              </w:rPr>
            </w:pPr>
          </w:p>
          <w:p w:rsidR="00E94E47" w:rsidRDefault="00D82568" w:rsidP="00CA6921">
            <w:pPr>
              <w:jc w:val="both"/>
              <w:rPr>
                <w:rFonts w:ascii="Verdana" w:hAnsi="Verdana"/>
                <w:sz w:val="22"/>
                <w:lang w:val="el-GR"/>
              </w:rPr>
            </w:pPr>
            <w:r w:rsidRPr="00C95411">
              <w:rPr>
                <w:rFonts w:ascii="Verdana" w:hAnsi="Verdana"/>
                <w:b/>
                <w:sz w:val="22"/>
                <w:lang w:val="el-GR"/>
              </w:rPr>
              <w:t>Υπουργείο Περιβάλλοντος και Ενέργειας</w:t>
            </w:r>
          </w:p>
          <w:p w:rsidR="00C95411" w:rsidRPr="00C95411" w:rsidRDefault="00C95411" w:rsidP="00CA6921">
            <w:pPr>
              <w:jc w:val="both"/>
              <w:rPr>
                <w:rFonts w:ascii="Verdana" w:hAnsi="Verdana"/>
                <w:b/>
                <w:sz w:val="22"/>
                <w:lang w:val="el-GR"/>
              </w:rPr>
            </w:pPr>
          </w:p>
        </w:tc>
      </w:tr>
      <w:tr w:rsidR="00F41529" w:rsidRPr="00C95411" w:rsidTr="00D223FA">
        <w:trPr>
          <w:trHeight w:val="327"/>
        </w:trPr>
        <w:tc>
          <w:tcPr>
            <w:tcW w:w="4787" w:type="dxa"/>
            <w:vMerge/>
          </w:tcPr>
          <w:p w:rsidR="00F41529" w:rsidRPr="00D5526D" w:rsidRDefault="00F41529" w:rsidP="00CA6921">
            <w:pPr>
              <w:rPr>
                <w:rFonts w:ascii="Arial" w:hAnsi="Arial"/>
                <w:b/>
                <w:sz w:val="22"/>
                <w:lang w:val="el-GR"/>
              </w:rPr>
            </w:pPr>
          </w:p>
        </w:tc>
        <w:tc>
          <w:tcPr>
            <w:tcW w:w="992" w:type="dxa"/>
          </w:tcPr>
          <w:p w:rsidR="00F41529" w:rsidRPr="00AF337C" w:rsidRDefault="008946B1" w:rsidP="00CA6921">
            <w:pPr>
              <w:rPr>
                <w:rFonts w:ascii="Verdana" w:hAnsi="Verdana"/>
                <w:lang w:val="el-GR"/>
              </w:rPr>
            </w:pPr>
            <w:r w:rsidRPr="00AF337C">
              <w:rPr>
                <w:rFonts w:ascii="Verdana" w:hAnsi="Verdana"/>
                <w:lang w:val="el-GR"/>
              </w:rPr>
              <w:t>Κοιν.</w:t>
            </w:r>
            <w:r w:rsidR="009F3B33" w:rsidRPr="00AF337C">
              <w:rPr>
                <w:rFonts w:ascii="Verdana" w:hAnsi="Verdana"/>
                <w:lang w:val="el-GR"/>
              </w:rPr>
              <w:t>:</w:t>
            </w:r>
          </w:p>
        </w:tc>
        <w:tc>
          <w:tcPr>
            <w:tcW w:w="3436" w:type="dxa"/>
          </w:tcPr>
          <w:p w:rsidR="00AE2B61" w:rsidRPr="00AF337C" w:rsidRDefault="00C95411" w:rsidP="009602EB">
            <w:pPr>
              <w:pStyle w:val="a6"/>
              <w:numPr>
                <w:ilvl w:val="0"/>
                <w:numId w:val="20"/>
              </w:numPr>
              <w:jc w:val="both"/>
              <w:rPr>
                <w:rFonts w:ascii="Verdana" w:hAnsi="Verdana"/>
                <w:lang w:val="el-GR"/>
              </w:rPr>
            </w:pPr>
            <w:r w:rsidRPr="00AF337C">
              <w:rPr>
                <w:rFonts w:ascii="Verdana" w:hAnsi="Verdana"/>
                <w:lang w:val="el-GR"/>
              </w:rPr>
              <w:t>ΕΝ</w:t>
            </w:r>
            <w:r w:rsidR="00BE3119">
              <w:rPr>
                <w:rFonts w:ascii="Verdana" w:hAnsi="Verdana"/>
                <w:lang w:val="el-GR"/>
              </w:rPr>
              <w:t>.</w:t>
            </w:r>
            <w:r w:rsidRPr="00AF337C">
              <w:rPr>
                <w:rFonts w:ascii="Verdana" w:hAnsi="Verdana"/>
                <w:lang w:val="el-GR"/>
              </w:rPr>
              <w:t>Π</w:t>
            </w:r>
            <w:r w:rsidR="00BE3119">
              <w:rPr>
                <w:rFonts w:ascii="Verdana" w:hAnsi="Verdana"/>
                <w:lang w:val="el-GR"/>
              </w:rPr>
              <w:t>.</w:t>
            </w:r>
            <w:r w:rsidRPr="00AF337C">
              <w:rPr>
                <w:rFonts w:ascii="Verdana" w:hAnsi="Verdana"/>
                <w:lang w:val="el-GR"/>
              </w:rPr>
              <w:t>Ε</w:t>
            </w:r>
            <w:r w:rsidR="00BE3119">
              <w:rPr>
                <w:rFonts w:ascii="Verdana" w:hAnsi="Verdana"/>
                <w:lang w:val="el-GR"/>
              </w:rPr>
              <w:t>.</w:t>
            </w:r>
          </w:p>
          <w:p w:rsidR="00C95411" w:rsidRPr="00AF337C" w:rsidRDefault="00BE3119" w:rsidP="009602EB">
            <w:pPr>
              <w:pStyle w:val="a6"/>
              <w:numPr>
                <w:ilvl w:val="0"/>
                <w:numId w:val="20"/>
              </w:numPr>
              <w:jc w:val="both"/>
              <w:rPr>
                <w:rFonts w:ascii="Verdana" w:hAnsi="Verdana"/>
                <w:lang w:val="el-GR"/>
              </w:rPr>
            </w:pPr>
            <w:r>
              <w:rPr>
                <w:rFonts w:ascii="Verdana" w:hAnsi="Verdana"/>
                <w:lang w:val="el-GR"/>
              </w:rPr>
              <w:t xml:space="preserve">Πρόεδρο </w:t>
            </w:r>
            <w:r w:rsidR="00C95411" w:rsidRPr="00AF337C">
              <w:rPr>
                <w:rFonts w:ascii="Verdana" w:hAnsi="Verdana"/>
                <w:lang w:val="el-GR"/>
              </w:rPr>
              <w:t>Π</w:t>
            </w:r>
            <w:r>
              <w:rPr>
                <w:rFonts w:ascii="Verdana" w:hAnsi="Verdana"/>
                <w:lang w:val="el-GR"/>
              </w:rPr>
              <w:t>.</w:t>
            </w:r>
            <w:r w:rsidR="00C95411" w:rsidRPr="00AF337C">
              <w:rPr>
                <w:rFonts w:ascii="Verdana" w:hAnsi="Verdana"/>
                <w:lang w:val="el-GR"/>
              </w:rPr>
              <w:t>Ε</w:t>
            </w:r>
            <w:r>
              <w:rPr>
                <w:rFonts w:ascii="Verdana" w:hAnsi="Verdana"/>
                <w:lang w:val="el-GR"/>
              </w:rPr>
              <w:t>.</w:t>
            </w:r>
            <w:r w:rsidR="00C95411" w:rsidRPr="00AF337C">
              <w:rPr>
                <w:rFonts w:ascii="Verdana" w:hAnsi="Verdana"/>
                <w:lang w:val="el-GR"/>
              </w:rPr>
              <w:t>Δ</w:t>
            </w:r>
            <w:r>
              <w:rPr>
                <w:rFonts w:ascii="Verdana" w:hAnsi="Verdana"/>
                <w:lang w:val="el-GR"/>
              </w:rPr>
              <w:t>.</w:t>
            </w:r>
            <w:r w:rsidR="00C95411" w:rsidRPr="00AF337C">
              <w:rPr>
                <w:rFonts w:ascii="Verdana" w:hAnsi="Verdana"/>
                <w:lang w:val="el-GR"/>
              </w:rPr>
              <w:t xml:space="preserve"> Ν</w:t>
            </w:r>
            <w:r>
              <w:rPr>
                <w:rFonts w:ascii="Verdana" w:hAnsi="Verdana"/>
                <w:lang w:val="el-GR"/>
              </w:rPr>
              <w:t xml:space="preserve">. </w:t>
            </w:r>
            <w:r w:rsidR="00C95411" w:rsidRPr="00AF337C">
              <w:rPr>
                <w:rFonts w:ascii="Verdana" w:hAnsi="Verdana"/>
                <w:lang w:val="el-GR"/>
              </w:rPr>
              <w:t>Αιγαίου</w:t>
            </w:r>
          </w:p>
          <w:p w:rsidR="00C95411" w:rsidRPr="00AF337C" w:rsidRDefault="00D82568" w:rsidP="00D82568">
            <w:pPr>
              <w:pStyle w:val="a6"/>
              <w:numPr>
                <w:ilvl w:val="0"/>
                <w:numId w:val="20"/>
              </w:numPr>
              <w:jc w:val="both"/>
              <w:rPr>
                <w:rFonts w:ascii="Verdana" w:hAnsi="Verdana"/>
                <w:lang w:val="el-GR"/>
              </w:rPr>
            </w:pPr>
            <w:r w:rsidRPr="00AF337C">
              <w:rPr>
                <w:rFonts w:ascii="Verdana" w:hAnsi="Verdana"/>
                <w:lang w:val="el-GR"/>
              </w:rPr>
              <w:t>ΒουλευτέςΔωδ/σου &amp;</w:t>
            </w:r>
            <w:r w:rsidR="00C95411" w:rsidRPr="00AF337C">
              <w:rPr>
                <w:rFonts w:ascii="Verdana" w:hAnsi="Verdana"/>
                <w:lang w:val="el-GR"/>
              </w:rPr>
              <w:t xml:space="preserve"> Κυκλάδων. </w:t>
            </w:r>
          </w:p>
        </w:tc>
      </w:tr>
    </w:tbl>
    <w:p w:rsidR="00755E72" w:rsidRDefault="00755E72" w:rsidP="00CA6921">
      <w:pPr>
        <w:rPr>
          <w:rFonts w:ascii="Arial" w:hAnsi="Arial"/>
          <w:sz w:val="22"/>
          <w:lang w:val="el-GR"/>
        </w:rPr>
      </w:pPr>
    </w:p>
    <w:p w:rsidR="000669E8" w:rsidRPr="000669E8" w:rsidRDefault="000669E8" w:rsidP="00CA6921">
      <w:pPr>
        <w:rPr>
          <w:rFonts w:ascii="Arial" w:hAnsi="Arial"/>
          <w:sz w:val="22"/>
          <w:lang w:val="el-GR"/>
        </w:rPr>
      </w:pPr>
    </w:p>
    <w:tbl>
      <w:tblPr>
        <w:tblW w:w="9215" w:type="dxa"/>
        <w:tblInd w:w="-426" w:type="dxa"/>
        <w:tblLayout w:type="fixed"/>
        <w:tblLook w:val="0000"/>
      </w:tblPr>
      <w:tblGrid>
        <w:gridCol w:w="1385"/>
        <w:gridCol w:w="7830"/>
      </w:tblGrid>
      <w:tr w:rsidR="00755E72" w:rsidRPr="0026483D" w:rsidTr="00D223FA">
        <w:tc>
          <w:tcPr>
            <w:tcW w:w="1385" w:type="dxa"/>
          </w:tcPr>
          <w:p w:rsidR="00755E72" w:rsidRPr="007F0391" w:rsidRDefault="00755E72" w:rsidP="00CA6921">
            <w:pPr>
              <w:jc w:val="both"/>
              <w:rPr>
                <w:rFonts w:ascii="Verdana" w:hAnsi="Verdana"/>
                <w:sz w:val="22"/>
                <w:lang w:val="el-GR"/>
              </w:rPr>
            </w:pPr>
            <w:r w:rsidRPr="007F0391">
              <w:rPr>
                <w:rFonts w:ascii="Verdana" w:hAnsi="Verdana"/>
                <w:sz w:val="22"/>
                <w:lang w:val="el-GR"/>
              </w:rPr>
              <w:t>Θέμα:</w:t>
            </w:r>
          </w:p>
        </w:tc>
        <w:tc>
          <w:tcPr>
            <w:tcW w:w="7830" w:type="dxa"/>
          </w:tcPr>
          <w:p w:rsidR="00E94E47" w:rsidRPr="00E94E47" w:rsidRDefault="00195D9F" w:rsidP="00D76440">
            <w:pPr>
              <w:jc w:val="both"/>
              <w:rPr>
                <w:rFonts w:ascii="Verdana" w:hAnsi="Verdana"/>
                <w:b/>
                <w:sz w:val="22"/>
                <w:szCs w:val="22"/>
                <w:lang w:val="el-GR"/>
              </w:rPr>
            </w:pPr>
            <w:r>
              <w:rPr>
                <w:rFonts w:ascii="Verdana" w:hAnsi="Verdana"/>
                <w:b/>
                <w:sz w:val="22"/>
                <w:szCs w:val="22"/>
                <w:lang w:val="el-GR"/>
              </w:rPr>
              <w:t xml:space="preserve">Προτάσεις </w:t>
            </w:r>
            <w:r w:rsidR="00C41E4A">
              <w:rPr>
                <w:rFonts w:ascii="Verdana" w:hAnsi="Verdana"/>
                <w:b/>
                <w:sz w:val="22"/>
                <w:szCs w:val="22"/>
                <w:lang w:val="el-GR"/>
              </w:rPr>
              <w:t>για το Σ/Ν</w:t>
            </w:r>
            <w:r w:rsidR="00F15482">
              <w:rPr>
                <w:rFonts w:ascii="Verdana" w:hAnsi="Verdana"/>
                <w:b/>
                <w:bCs/>
                <w:sz w:val="22"/>
                <w:szCs w:val="22"/>
                <w:lang w:val="el-GR"/>
              </w:rPr>
              <w:t xml:space="preserve">του </w:t>
            </w:r>
            <w:r w:rsidR="00C41E4A">
              <w:rPr>
                <w:rFonts w:ascii="Verdana" w:hAnsi="Verdana"/>
                <w:b/>
                <w:bCs/>
                <w:sz w:val="22"/>
                <w:szCs w:val="22"/>
                <w:lang w:val="el-GR"/>
              </w:rPr>
              <w:t>Υπουργείου Περιβάλλοντος και Ενέργειας</w:t>
            </w:r>
            <w:r w:rsidR="00F15482">
              <w:rPr>
                <w:rFonts w:ascii="Verdana" w:hAnsi="Verdana"/>
                <w:b/>
                <w:bCs/>
                <w:sz w:val="22"/>
                <w:szCs w:val="22"/>
                <w:lang w:val="el-GR"/>
              </w:rPr>
              <w:t>«Εκσυγχρονισμός</w:t>
            </w:r>
            <w:r w:rsidR="00C41E4A">
              <w:rPr>
                <w:rFonts w:ascii="Verdana" w:hAnsi="Verdana"/>
                <w:b/>
                <w:bCs/>
                <w:sz w:val="22"/>
                <w:szCs w:val="22"/>
                <w:lang w:val="el-GR"/>
              </w:rPr>
              <w:t xml:space="preserve"> του Χωροταξικού και Πολεοδομικής Νομοθεσίας</w:t>
            </w:r>
            <w:r w:rsidR="00C41E4A" w:rsidRPr="00C41E4A">
              <w:rPr>
                <w:rFonts w:ascii="Verdana" w:hAnsi="Verdana"/>
                <w:b/>
                <w:bCs/>
                <w:sz w:val="22"/>
                <w:szCs w:val="22"/>
                <w:lang w:val="el-GR"/>
              </w:rPr>
              <w:t>»</w:t>
            </w:r>
          </w:p>
        </w:tc>
      </w:tr>
      <w:tr w:rsidR="00755E72" w:rsidRPr="00F53C6C" w:rsidTr="00D223FA">
        <w:tc>
          <w:tcPr>
            <w:tcW w:w="1385" w:type="dxa"/>
          </w:tcPr>
          <w:p w:rsidR="00755E72" w:rsidRPr="007F0391" w:rsidRDefault="00755E72" w:rsidP="00CA6921">
            <w:pPr>
              <w:jc w:val="both"/>
              <w:rPr>
                <w:rFonts w:ascii="Verdana" w:hAnsi="Verdana"/>
                <w:sz w:val="22"/>
                <w:lang w:val="el-GR"/>
              </w:rPr>
            </w:pPr>
          </w:p>
        </w:tc>
        <w:tc>
          <w:tcPr>
            <w:tcW w:w="7830" w:type="dxa"/>
          </w:tcPr>
          <w:p w:rsidR="007C44CB" w:rsidRDefault="007C44CB" w:rsidP="00CA6921">
            <w:pPr>
              <w:jc w:val="both"/>
              <w:rPr>
                <w:rFonts w:ascii="Verdana" w:hAnsi="Verdana"/>
                <w:sz w:val="22"/>
                <w:lang w:val="el-GR"/>
              </w:rPr>
            </w:pPr>
          </w:p>
          <w:p w:rsidR="00E94E47" w:rsidRPr="007F0391" w:rsidRDefault="00E94E47" w:rsidP="00CA6921">
            <w:pPr>
              <w:jc w:val="both"/>
              <w:rPr>
                <w:rFonts w:ascii="Verdana" w:hAnsi="Verdana"/>
                <w:sz w:val="22"/>
                <w:lang w:val="el-GR"/>
              </w:rPr>
            </w:pPr>
          </w:p>
        </w:tc>
      </w:tr>
    </w:tbl>
    <w:p w:rsidR="005D285D" w:rsidRDefault="005D285D" w:rsidP="00CA6921">
      <w:pPr>
        <w:ind w:right="-694"/>
        <w:jc w:val="both"/>
        <w:rPr>
          <w:rFonts w:ascii="Arial Narrow" w:hAnsi="Arial Narrow"/>
          <w:lang w:val="el-GR"/>
        </w:rPr>
      </w:pPr>
    </w:p>
    <w:p w:rsidR="000D690C" w:rsidRPr="005D285D" w:rsidRDefault="000D690C" w:rsidP="00CA6921">
      <w:pPr>
        <w:ind w:right="-694"/>
        <w:jc w:val="both"/>
        <w:rPr>
          <w:rFonts w:ascii="Arial Narrow" w:hAnsi="Arial Narrow"/>
          <w:lang w:val="el-GR"/>
        </w:rPr>
      </w:pPr>
    </w:p>
    <w:tbl>
      <w:tblPr>
        <w:tblW w:w="9215" w:type="dxa"/>
        <w:tblInd w:w="-426" w:type="dxa"/>
        <w:tblLook w:val="0000"/>
      </w:tblPr>
      <w:tblGrid>
        <w:gridCol w:w="9475"/>
      </w:tblGrid>
      <w:tr w:rsidR="00060BD2" w:rsidRPr="00571F1A" w:rsidTr="00D223FA">
        <w:trPr>
          <w:trHeight w:val="210"/>
        </w:trPr>
        <w:tc>
          <w:tcPr>
            <w:tcW w:w="9215" w:type="dxa"/>
          </w:tcPr>
          <w:p w:rsidR="00E303E8" w:rsidRPr="00571F1A" w:rsidRDefault="00E303E8" w:rsidP="00195D9F">
            <w:pPr>
              <w:jc w:val="both"/>
              <w:rPr>
                <w:rFonts w:ascii="Verdana" w:hAnsi="Verdana"/>
                <w:b/>
                <w:sz w:val="22"/>
                <w:szCs w:val="22"/>
                <w:lang w:val="el-GR"/>
              </w:rPr>
            </w:pPr>
            <w:r w:rsidRPr="00571F1A">
              <w:rPr>
                <w:rFonts w:ascii="Verdana" w:hAnsi="Verdana"/>
                <w:b/>
                <w:sz w:val="22"/>
                <w:szCs w:val="22"/>
                <w:lang w:val="el-GR"/>
              </w:rPr>
              <w:t xml:space="preserve">Α. </w:t>
            </w:r>
            <w:r w:rsidR="00E41002" w:rsidRPr="00571F1A">
              <w:rPr>
                <w:rFonts w:ascii="Verdana" w:hAnsi="Verdana"/>
                <w:b/>
                <w:sz w:val="22"/>
                <w:szCs w:val="22"/>
                <w:lang w:val="el-GR"/>
              </w:rPr>
              <w:t>ΠΡΟΟΙ</w:t>
            </w:r>
            <w:r w:rsidRPr="00571F1A">
              <w:rPr>
                <w:rFonts w:ascii="Verdana" w:hAnsi="Verdana"/>
                <w:b/>
                <w:sz w:val="22"/>
                <w:szCs w:val="22"/>
                <w:lang w:val="el-GR"/>
              </w:rPr>
              <w:t>ΜΙΟ</w:t>
            </w:r>
          </w:p>
          <w:p w:rsidR="00E303E8" w:rsidRPr="00571F1A" w:rsidRDefault="00E303E8" w:rsidP="00195D9F">
            <w:pPr>
              <w:jc w:val="both"/>
              <w:rPr>
                <w:rFonts w:ascii="Verdana" w:hAnsi="Verdana"/>
                <w:sz w:val="22"/>
                <w:szCs w:val="22"/>
                <w:lang w:val="el-GR"/>
              </w:rPr>
            </w:pPr>
          </w:p>
          <w:p w:rsidR="002867E2" w:rsidRPr="00571F1A" w:rsidRDefault="00195D9F" w:rsidP="00195D9F">
            <w:pPr>
              <w:jc w:val="both"/>
              <w:rPr>
                <w:rFonts w:ascii="Verdana" w:hAnsi="Verdana"/>
                <w:sz w:val="22"/>
                <w:szCs w:val="22"/>
                <w:lang w:val="el-GR"/>
              </w:rPr>
            </w:pPr>
            <w:r w:rsidRPr="00571F1A">
              <w:rPr>
                <w:rFonts w:ascii="Verdana" w:hAnsi="Verdana"/>
                <w:sz w:val="22"/>
                <w:szCs w:val="22"/>
                <w:lang w:val="el-GR"/>
              </w:rPr>
              <w:t>Με το παρόν Σ/Ν συναθροίζονται προϋφιστάμενα θεσμικά πλαίσια που αφορούν</w:t>
            </w:r>
            <w:r w:rsidR="002867E2" w:rsidRPr="00571F1A">
              <w:rPr>
                <w:rFonts w:ascii="Verdana" w:hAnsi="Verdana"/>
                <w:sz w:val="22"/>
                <w:szCs w:val="22"/>
                <w:lang w:val="el-GR"/>
              </w:rPr>
              <w:t xml:space="preserve"> στη Χωροταξία – Πολεοδομία, </w:t>
            </w:r>
            <w:r w:rsidRPr="00571F1A">
              <w:rPr>
                <w:rFonts w:ascii="Verdana" w:hAnsi="Verdana"/>
                <w:sz w:val="22"/>
                <w:szCs w:val="22"/>
                <w:lang w:val="el-GR"/>
              </w:rPr>
              <w:t xml:space="preserve">τα  επίπεδα Χωρικού Σχεδιασμού, την εκτός σχεδίου δόμηση, τα τουριστικά καταλύματα, τον οικοδομικό κανονισμό, την αυθαίρετη δόμηση, τη μεταφορά συντελεστή δόμησης κλπ, σε ένα πολυνομοσχέδιο με </w:t>
            </w:r>
            <w:r w:rsidR="002867E2" w:rsidRPr="00571F1A">
              <w:rPr>
                <w:rFonts w:ascii="Verdana" w:hAnsi="Verdana"/>
                <w:sz w:val="22"/>
                <w:szCs w:val="22"/>
                <w:lang w:val="el-GR"/>
              </w:rPr>
              <w:t xml:space="preserve">επί μέρους </w:t>
            </w:r>
            <w:r w:rsidRPr="00571F1A">
              <w:rPr>
                <w:rFonts w:ascii="Verdana" w:hAnsi="Verdana"/>
                <w:sz w:val="22"/>
                <w:szCs w:val="22"/>
                <w:lang w:val="el-GR"/>
              </w:rPr>
              <w:t xml:space="preserve">προσαρμογές. </w:t>
            </w:r>
          </w:p>
          <w:p w:rsidR="004D44CE" w:rsidRPr="00571F1A" w:rsidRDefault="00195D9F" w:rsidP="00195D9F">
            <w:pPr>
              <w:jc w:val="both"/>
              <w:rPr>
                <w:rFonts w:ascii="Verdana" w:hAnsi="Verdana"/>
                <w:sz w:val="22"/>
                <w:szCs w:val="22"/>
                <w:lang w:val="el-GR"/>
              </w:rPr>
            </w:pPr>
            <w:r w:rsidRPr="00571F1A">
              <w:rPr>
                <w:rFonts w:ascii="Verdana" w:hAnsi="Verdana"/>
                <w:b/>
                <w:sz w:val="22"/>
                <w:szCs w:val="22"/>
                <w:lang w:val="el-GR"/>
              </w:rPr>
              <w:t>Σαν γενική παρατήρηση επισημαίνουμε ότι για μια ακόμη φορά δεν αποτολμήθηκε μια διαφορετική προσέγγιση τουλάχιστο</w:t>
            </w:r>
            <w:r w:rsidR="004F34E2" w:rsidRPr="00571F1A">
              <w:rPr>
                <w:rFonts w:ascii="Verdana" w:hAnsi="Verdana"/>
                <w:b/>
                <w:sz w:val="22"/>
                <w:szCs w:val="22"/>
                <w:lang w:val="el-GR"/>
              </w:rPr>
              <w:t>ν</w:t>
            </w:r>
            <w:r w:rsidRPr="00571F1A">
              <w:rPr>
                <w:rFonts w:ascii="Verdana" w:hAnsi="Verdana"/>
                <w:b/>
                <w:sz w:val="22"/>
                <w:szCs w:val="22"/>
                <w:lang w:val="el-GR"/>
              </w:rPr>
              <w:t xml:space="preserve"> στις διαδικασίες έγκρισης των χωρικών σχεδίων με στόχο την αποκέντρωση που αποτελεί και το κυρίως ζητούμενο</w:t>
            </w:r>
            <w:r w:rsidRPr="00571F1A">
              <w:rPr>
                <w:rFonts w:ascii="Verdana" w:hAnsi="Verdana"/>
                <w:sz w:val="22"/>
                <w:szCs w:val="22"/>
                <w:lang w:val="el-GR"/>
              </w:rPr>
              <w:t>, αλλά ακολουθήθηκε η πεπατημένη</w:t>
            </w:r>
            <w:r w:rsidR="004F34E2" w:rsidRPr="00571F1A">
              <w:rPr>
                <w:rFonts w:ascii="Verdana" w:hAnsi="Verdana"/>
                <w:sz w:val="22"/>
                <w:szCs w:val="22"/>
                <w:lang w:val="el-GR"/>
              </w:rPr>
              <w:t>,</w:t>
            </w:r>
            <w:r w:rsidR="00BA5611" w:rsidRPr="00571F1A">
              <w:rPr>
                <w:rFonts w:ascii="Verdana" w:hAnsi="Verdana"/>
                <w:sz w:val="22"/>
                <w:szCs w:val="22"/>
                <w:lang w:val="el-GR"/>
              </w:rPr>
              <w:t xml:space="preserve">βασιζόμενη στη λεγόμενη </w:t>
            </w:r>
            <w:r w:rsidRPr="00571F1A">
              <w:rPr>
                <w:rFonts w:ascii="Verdana" w:hAnsi="Verdana"/>
                <w:sz w:val="22"/>
                <w:szCs w:val="22"/>
                <w:lang w:val="el-GR"/>
              </w:rPr>
              <w:t>«ασφάλεια δικαίου»</w:t>
            </w:r>
            <w:r w:rsidR="004F34E2" w:rsidRPr="00571F1A">
              <w:rPr>
                <w:rFonts w:ascii="Verdana" w:hAnsi="Verdana"/>
                <w:sz w:val="22"/>
                <w:szCs w:val="22"/>
                <w:lang w:val="el-GR"/>
              </w:rPr>
              <w:t>,</w:t>
            </w:r>
            <w:r w:rsidRPr="00571F1A">
              <w:rPr>
                <w:rFonts w:ascii="Verdana" w:hAnsi="Verdana"/>
                <w:sz w:val="22"/>
                <w:szCs w:val="22"/>
                <w:lang w:val="el-GR"/>
              </w:rPr>
              <w:t xml:space="preserve"> όπως εδώ και χρόνια εφαρμόζεται στη χώρα μας υιοθετώντας «νομολογίες» που τείνουν στο συγκεντρωτισμό στη διαδικασία λήψης αποφάσεων</w:t>
            </w:r>
            <w:r w:rsidR="004F34E2" w:rsidRPr="00571F1A">
              <w:rPr>
                <w:rFonts w:ascii="Verdana" w:hAnsi="Verdana"/>
                <w:sz w:val="22"/>
                <w:szCs w:val="22"/>
                <w:lang w:val="el-GR"/>
              </w:rPr>
              <w:t>. Ε</w:t>
            </w:r>
            <w:r w:rsidRPr="00571F1A">
              <w:rPr>
                <w:rFonts w:ascii="Verdana" w:hAnsi="Verdana"/>
                <w:sz w:val="22"/>
                <w:szCs w:val="22"/>
                <w:lang w:val="el-GR"/>
              </w:rPr>
              <w:t>να συγκεντρωτισμό αποτρεπτικό για κάθε τοπική πρωτοβουλία ρύθμισης του χώρου με πολλαπλά επακόλουθα. Και αυτό αποδεικνύεται πολύ εύκολα</w:t>
            </w:r>
            <w:r w:rsidR="004F34E2" w:rsidRPr="00571F1A">
              <w:rPr>
                <w:rFonts w:ascii="Verdana" w:hAnsi="Verdana"/>
                <w:sz w:val="22"/>
                <w:szCs w:val="22"/>
                <w:lang w:val="el-GR"/>
              </w:rPr>
              <w:t>,</w:t>
            </w:r>
            <w:r w:rsidRPr="00571F1A">
              <w:rPr>
                <w:rFonts w:ascii="Verdana" w:hAnsi="Verdana"/>
                <w:sz w:val="22"/>
                <w:szCs w:val="22"/>
                <w:lang w:val="el-GR"/>
              </w:rPr>
              <w:t xml:space="preserve"> απλά παρακολουθώντας διαχρονικά την πορεία των αντίστοιχων μελετών σε σχέση με τη διαδικασία και τις αρμοδιότητες θεσμοθέτησής τους. </w:t>
            </w:r>
          </w:p>
          <w:p w:rsidR="00904486" w:rsidRPr="00571F1A" w:rsidRDefault="004D44CE" w:rsidP="00195D9F">
            <w:pPr>
              <w:jc w:val="both"/>
              <w:rPr>
                <w:rFonts w:ascii="Verdana" w:hAnsi="Verdana"/>
                <w:sz w:val="22"/>
                <w:szCs w:val="22"/>
                <w:lang w:val="el-GR"/>
              </w:rPr>
            </w:pPr>
            <w:r w:rsidRPr="00571F1A">
              <w:rPr>
                <w:rFonts w:ascii="Verdana" w:hAnsi="Verdana"/>
                <w:b/>
                <w:sz w:val="22"/>
                <w:szCs w:val="22"/>
                <w:lang w:val="el-GR"/>
              </w:rPr>
              <w:t>Απόρροια όλων αυτών είναι η</w:t>
            </w:r>
            <w:r w:rsidR="00195D9F" w:rsidRPr="00571F1A">
              <w:rPr>
                <w:rFonts w:ascii="Verdana" w:hAnsi="Verdana"/>
                <w:b/>
                <w:sz w:val="22"/>
                <w:szCs w:val="22"/>
                <w:lang w:val="el-GR"/>
              </w:rPr>
              <w:t xml:space="preserve"> Τοπική Αυτοδιοίκηση Α</w:t>
            </w:r>
            <w:r w:rsidRPr="00571F1A">
              <w:rPr>
                <w:rFonts w:ascii="Verdana" w:hAnsi="Verdana"/>
                <w:b/>
                <w:sz w:val="22"/>
                <w:szCs w:val="22"/>
                <w:lang w:val="el-GR"/>
              </w:rPr>
              <w:t>’</w:t>
            </w:r>
            <w:r w:rsidR="00195D9F" w:rsidRPr="00571F1A">
              <w:rPr>
                <w:rFonts w:ascii="Verdana" w:hAnsi="Verdana"/>
                <w:b/>
                <w:sz w:val="22"/>
                <w:szCs w:val="22"/>
                <w:lang w:val="el-GR"/>
              </w:rPr>
              <w:t xml:space="preserve"> και Β</w:t>
            </w:r>
            <w:r w:rsidRPr="00571F1A">
              <w:rPr>
                <w:rFonts w:ascii="Verdana" w:hAnsi="Verdana"/>
                <w:b/>
                <w:sz w:val="22"/>
                <w:szCs w:val="22"/>
                <w:lang w:val="el-GR"/>
              </w:rPr>
              <w:t>’</w:t>
            </w:r>
            <w:r w:rsidR="00195D9F" w:rsidRPr="00571F1A">
              <w:rPr>
                <w:rFonts w:ascii="Verdana" w:hAnsi="Verdana"/>
                <w:b/>
                <w:sz w:val="22"/>
                <w:szCs w:val="22"/>
                <w:lang w:val="el-GR"/>
              </w:rPr>
              <w:t xml:space="preserve"> βαθμού να είναι πλέον τελείως «αποψιλωμένη» από αρμοδιότητες θεσμοθέτησης χωρικών σχεδίων ακόμη και εντελώς τοπικού χαρακτήρα</w:t>
            </w:r>
            <w:r w:rsidR="00195D9F" w:rsidRPr="00571F1A">
              <w:rPr>
                <w:rFonts w:ascii="Verdana" w:hAnsi="Verdana"/>
                <w:sz w:val="22"/>
                <w:szCs w:val="22"/>
                <w:lang w:val="el-GR"/>
              </w:rPr>
              <w:t>, γεγονός που αποδυναμώνει το ρόλο της, σε αντίθεση με τα τεκταινόμενα στην Ε.Ε εδώ και δεκαετίες. Η μόνιμη επωδός είναι ότι κάτι τέτοιο προσκρούει στο Σύνταγμα και ειδικότερα στο αρθ. 24 στο οποίο αναφέρεται ότι ο χωρικός σχεδιασμός ανήκει στη ρυθμιστική αρμοδιότητα του Κράτους. Είναι πλέον απολύτως αναγκαίο να αποσαφηνισθούν και αποτυπωθούν στην σύγχρονη Ελλάδα βασικές έννοιες, όπως αυτή τ</w:t>
            </w:r>
            <w:r w:rsidR="004F34E2" w:rsidRPr="00571F1A">
              <w:rPr>
                <w:rFonts w:ascii="Verdana" w:hAnsi="Verdana"/>
                <w:sz w:val="22"/>
                <w:szCs w:val="22"/>
                <w:lang w:val="el-GR"/>
              </w:rPr>
              <w:t xml:space="preserve">ου Κεντρικού Κράτους σε σχέση με την Τοπική Αυτοδιοίκηση. </w:t>
            </w:r>
          </w:p>
          <w:p w:rsidR="004F34E2" w:rsidRPr="00571F1A" w:rsidRDefault="004F34E2" w:rsidP="00195D9F">
            <w:pPr>
              <w:jc w:val="both"/>
              <w:rPr>
                <w:rFonts w:ascii="Verdana" w:hAnsi="Verdana"/>
                <w:sz w:val="22"/>
                <w:szCs w:val="22"/>
                <w:lang w:val="el-GR"/>
              </w:rPr>
            </w:pPr>
          </w:p>
          <w:p w:rsidR="00C15658" w:rsidRPr="00571F1A" w:rsidRDefault="00195D9F" w:rsidP="00195D9F">
            <w:pPr>
              <w:jc w:val="both"/>
              <w:rPr>
                <w:rFonts w:ascii="Verdana" w:hAnsi="Verdana"/>
                <w:b/>
                <w:sz w:val="22"/>
                <w:szCs w:val="22"/>
                <w:lang w:val="el-GR"/>
              </w:rPr>
            </w:pPr>
            <w:r w:rsidRPr="00571F1A">
              <w:rPr>
                <w:rFonts w:ascii="Verdana" w:hAnsi="Verdana"/>
                <w:b/>
                <w:sz w:val="22"/>
                <w:szCs w:val="22"/>
                <w:lang w:val="el-GR"/>
              </w:rPr>
              <w:t xml:space="preserve">Θεωρούμε ότι οποιαδήποτε ενέργεια γίνεται σε θεσμικό επίπεδο που αφορά </w:t>
            </w:r>
            <w:r w:rsidRPr="00571F1A">
              <w:rPr>
                <w:rFonts w:ascii="Verdana" w:hAnsi="Verdana"/>
                <w:b/>
                <w:sz w:val="22"/>
                <w:szCs w:val="22"/>
                <w:lang w:val="el-GR"/>
              </w:rPr>
              <w:lastRenderedPageBreak/>
              <w:t>στην Τ.Α σε σχέση με</w:t>
            </w:r>
            <w:r w:rsidR="00904486" w:rsidRPr="00571F1A">
              <w:rPr>
                <w:rFonts w:ascii="Verdana" w:hAnsi="Verdana"/>
                <w:b/>
                <w:sz w:val="22"/>
                <w:szCs w:val="22"/>
                <w:lang w:val="el-GR"/>
              </w:rPr>
              <w:t xml:space="preserve"> το Κ</w:t>
            </w:r>
            <w:r w:rsidRPr="00571F1A">
              <w:rPr>
                <w:rFonts w:ascii="Verdana" w:hAnsi="Verdana"/>
                <w:b/>
                <w:sz w:val="22"/>
                <w:szCs w:val="22"/>
                <w:lang w:val="el-GR"/>
              </w:rPr>
              <w:t>ράτος, πρέπει να στοχεύει στη λογική που περικλείεται στο τρίπτυχο</w:t>
            </w:r>
            <w:r w:rsidR="00C15658" w:rsidRPr="00571F1A">
              <w:rPr>
                <w:rFonts w:ascii="Verdana" w:hAnsi="Verdana"/>
                <w:b/>
                <w:sz w:val="22"/>
                <w:szCs w:val="22"/>
                <w:lang w:val="el-GR"/>
              </w:rPr>
              <w:t xml:space="preserve"> : </w:t>
            </w:r>
          </w:p>
          <w:p w:rsidR="00571F1A" w:rsidRPr="00571F1A" w:rsidRDefault="00195D9F" w:rsidP="00195D9F">
            <w:pPr>
              <w:jc w:val="both"/>
              <w:rPr>
                <w:rFonts w:ascii="Verdana" w:hAnsi="Verdana"/>
                <w:b/>
                <w:sz w:val="22"/>
                <w:szCs w:val="22"/>
                <w:lang w:val="el-GR"/>
              </w:rPr>
            </w:pPr>
            <w:r w:rsidRPr="00571F1A">
              <w:rPr>
                <w:rFonts w:ascii="Verdana" w:hAnsi="Verdana"/>
                <w:b/>
                <w:sz w:val="22"/>
                <w:szCs w:val="22"/>
                <w:lang w:val="el-GR"/>
              </w:rPr>
              <w:t xml:space="preserve">«Κράτος επιτελικό </w:t>
            </w:r>
            <w:r w:rsidR="00571F1A" w:rsidRPr="00571F1A">
              <w:rPr>
                <w:rFonts w:ascii="Verdana" w:hAnsi="Verdana"/>
                <w:b/>
                <w:sz w:val="22"/>
                <w:szCs w:val="22"/>
                <w:lang w:val="el-GR"/>
              </w:rPr>
              <w:t>–</w:t>
            </w:r>
            <w:r w:rsidRPr="00571F1A">
              <w:rPr>
                <w:rFonts w:ascii="Verdana" w:hAnsi="Verdana"/>
                <w:b/>
                <w:sz w:val="22"/>
                <w:szCs w:val="22"/>
                <w:lang w:val="el-GR"/>
              </w:rPr>
              <w:t xml:space="preserve"> Περιφέρειες ισχυρές με ρόλο προγραμματικό στα χωρικά τους όρια και στα πλαίσια της </w:t>
            </w:r>
            <w:r w:rsidR="00571F1A" w:rsidRPr="00571F1A">
              <w:rPr>
                <w:rFonts w:ascii="Verdana" w:hAnsi="Verdana"/>
                <w:b/>
                <w:sz w:val="22"/>
                <w:szCs w:val="22"/>
                <w:lang w:val="el-GR"/>
              </w:rPr>
              <w:t xml:space="preserve">Ευρώπης των Περιφερειών – </w:t>
            </w:r>
          </w:p>
          <w:p w:rsidR="00BA5611" w:rsidRPr="00571F1A" w:rsidRDefault="00571F1A" w:rsidP="00195D9F">
            <w:pPr>
              <w:jc w:val="both"/>
              <w:rPr>
                <w:rFonts w:ascii="Verdana" w:hAnsi="Verdana"/>
                <w:sz w:val="22"/>
                <w:szCs w:val="22"/>
                <w:lang w:val="el-GR"/>
              </w:rPr>
            </w:pPr>
            <w:r w:rsidRPr="00571F1A">
              <w:rPr>
                <w:rFonts w:ascii="Verdana" w:hAnsi="Verdana"/>
                <w:b/>
                <w:sz w:val="22"/>
                <w:szCs w:val="22"/>
                <w:lang w:val="el-GR"/>
              </w:rPr>
              <w:t>Δήμοιτοπικά κυβερνεία πρώτης γραμμής</w:t>
            </w:r>
            <w:r w:rsidR="00195D9F" w:rsidRPr="00571F1A">
              <w:rPr>
                <w:rFonts w:ascii="Verdana" w:hAnsi="Verdana"/>
                <w:b/>
                <w:sz w:val="22"/>
                <w:szCs w:val="22"/>
                <w:lang w:val="el-GR"/>
              </w:rPr>
              <w:t>, κοντά στον πολίτη και με ρόλο εκτελεστικό».</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Με αυτή τη λογική θα έπρεπε </w:t>
            </w:r>
            <w:r w:rsidR="00BA5611" w:rsidRPr="00571F1A">
              <w:rPr>
                <w:rFonts w:ascii="Verdana" w:hAnsi="Verdana"/>
                <w:sz w:val="22"/>
                <w:szCs w:val="22"/>
                <w:lang w:val="el-GR"/>
              </w:rPr>
              <w:t xml:space="preserve">επομένως </w:t>
            </w:r>
            <w:r w:rsidRPr="00571F1A">
              <w:rPr>
                <w:rFonts w:ascii="Verdana" w:hAnsi="Verdana"/>
                <w:sz w:val="22"/>
                <w:szCs w:val="22"/>
                <w:lang w:val="el-GR"/>
              </w:rPr>
              <w:t xml:space="preserve">να είναι διαρθρωμένο και το πλαίσιο Χωρικού Σχεδιασμού της χώρας είτε σε επίπεδο στρατηγικό είτε κανονιστικό, υποκείμενο στην αρχή: </w:t>
            </w:r>
            <w:r w:rsidRPr="00571F1A">
              <w:rPr>
                <w:rFonts w:ascii="Verdana" w:hAnsi="Verdana"/>
                <w:b/>
                <w:sz w:val="22"/>
                <w:szCs w:val="22"/>
                <w:lang w:val="el-GR"/>
              </w:rPr>
              <w:t>κάθε επίπεδο σχεδιασμού ανάλογα με το πεδίο αναφοράς του θεσμοθετείται από την αμέσως επόμενη διοικητική βαθμίδα.</w:t>
            </w:r>
            <w:r w:rsidRPr="00571F1A">
              <w:rPr>
                <w:rFonts w:ascii="Verdana" w:hAnsi="Verdana"/>
                <w:sz w:val="22"/>
                <w:szCs w:val="22"/>
                <w:lang w:val="el-GR"/>
              </w:rPr>
              <w:t xml:space="preserve"> Π.χ. αν έχει πεδίο αναφοράς σε Δήμο, θεσμοθετείται από την Περιφέρεια, αν είναι Περιφερειακού επιπέδου από τον Υπουργό κλπ. </w:t>
            </w:r>
            <w:r w:rsidR="00904486" w:rsidRPr="00571F1A">
              <w:rPr>
                <w:rFonts w:ascii="Verdana" w:hAnsi="Verdana"/>
                <w:sz w:val="22"/>
                <w:szCs w:val="22"/>
                <w:lang w:val="el-GR"/>
              </w:rPr>
              <w:t xml:space="preserve">Δυστυχώς απέχουμε ακόμη πολύ από αυτή τη λογική. </w:t>
            </w:r>
          </w:p>
          <w:p w:rsidR="00195D9F" w:rsidRPr="00571F1A" w:rsidRDefault="00195D9F" w:rsidP="00195D9F">
            <w:pPr>
              <w:jc w:val="both"/>
              <w:rPr>
                <w:rFonts w:ascii="Verdana" w:hAnsi="Verdana"/>
                <w:sz w:val="22"/>
                <w:szCs w:val="22"/>
                <w:lang w:val="el-GR"/>
              </w:rPr>
            </w:pPr>
            <w:r w:rsidRPr="00571F1A">
              <w:rPr>
                <w:rFonts w:ascii="Verdana" w:hAnsi="Verdana"/>
                <w:b/>
                <w:sz w:val="22"/>
                <w:szCs w:val="22"/>
                <w:lang w:val="el-GR"/>
              </w:rPr>
              <w:t xml:space="preserve">Με δεδομένη </w:t>
            </w:r>
            <w:r w:rsidR="00BA5611" w:rsidRPr="00571F1A">
              <w:rPr>
                <w:rFonts w:ascii="Verdana" w:hAnsi="Verdana"/>
                <w:b/>
                <w:sz w:val="22"/>
                <w:szCs w:val="22"/>
                <w:lang w:val="el-GR"/>
              </w:rPr>
              <w:t>όμως</w:t>
            </w:r>
            <w:r w:rsidRPr="00571F1A">
              <w:rPr>
                <w:rFonts w:ascii="Verdana" w:hAnsi="Verdana"/>
                <w:b/>
                <w:sz w:val="22"/>
                <w:szCs w:val="22"/>
                <w:lang w:val="el-GR"/>
              </w:rPr>
              <w:t xml:space="preserve"> την προσαρμογή του υπ’ όψη Σ/Ν στη λεγόμενη «ασφάλεια δικαίου», οι προτεινόμενες παρεμβάσεις μας δεν θα αποκλίνουν από αυτή την επιλογή,</w:t>
            </w:r>
            <w:r w:rsidRPr="00571F1A">
              <w:rPr>
                <w:rFonts w:ascii="Verdana" w:hAnsi="Verdana"/>
                <w:sz w:val="22"/>
                <w:szCs w:val="22"/>
                <w:lang w:val="el-GR"/>
              </w:rPr>
              <w:t xml:space="preserve"> αλλά θα προσπαθήσουν να μεταφέρουν την τοπική εμπειρία όπως αυτή βιώνεται καθημερινά και μέσα στα πλαίσια ενίσχυσης </w:t>
            </w:r>
            <w:r w:rsidR="00904486" w:rsidRPr="00571F1A">
              <w:rPr>
                <w:rFonts w:ascii="Verdana" w:hAnsi="Verdana"/>
                <w:sz w:val="22"/>
                <w:szCs w:val="22"/>
                <w:lang w:val="el-GR"/>
              </w:rPr>
              <w:t xml:space="preserve">κατά το δυνατόν </w:t>
            </w:r>
            <w:r w:rsidRPr="00571F1A">
              <w:rPr>
                <w:rFonts w:ascii="Verdana" w:hAnsi="Verdana"/>
                <w:sz w:val="22"/>
                <w:szCs w:val="22"/>
                <w:lang w:val="el-GR"/>
              </w:rPr>
              <w:t>της τοπικής παρεμβατικότητας – συμμετοχής.</w:t>
            </w:r>
          </w:p>
          <w:p w:rsidR="00FC1EAD" w:rsidRPr="00571F1A" w:rsidRDefault="00FC1EAD" w:rsidP="00195D9F">
            <w:pPr>
              <w:jc w:val="both"/>
              <w:rPr>
                <w:rFonts w:ascii="Verdana" w:hAnsi="Verdana"/>
                <w:sz w:val="22"/>
                <w:szCs w:val="22"/>
                <w:lang w:val="el-GR"/>
              </w:rPr>
            </w:pPr>
          </w:p>
          <w:p w:rsidR="00FC1EAD" w:rsidRPr="00571F1A" w:rsidRDefault="00FB636C" w:rsidP="00195D9F">
            <w:pPr>
              <w:jc w:val="both"/>
              <w:rPr>
                <w:rFonts w:ascii="Verdana" w:hAnsi="Verdana"/>
                <w:b/>
                <w:sz w:val="22"/>
                <w:szCs w:val="22"/>
                <w:lang w:val="el-GR"/>
              </w:rPr>
            </w:pPr>
            <w:r w:rsidRPr="00571F1A">
              <w:rPr>
                <w:rFonts w:ascii="Verdana" w:hAnsi="Verdana"/>
                <w:b/>
                <w:sz w:val="22"/>
                <w:szCs w:val="22"/>
                <w:lang w:val="el-GR"/>
              </w:rPr>
              <w:t>Επισημαίνουμε τον χρόνο</w:t>
            </w:r>
            <w:r w:rsidR="00FC1EAD" w:rsidRPr="00571F1A">
              <w:rPr>
                <w:rFonts w:ascii="Verdana" w:hAnsi="Verdana"/>
                <w:b/>
                <w:sz w:val="22"/>
                <w:szCs w:val="22"/>
                <w:lang w:val="el-GR"/>
              </w:rPr>
              <w:t xml:space="preserve"> διαβούλευσης</w:t>
            </w:r>
            <w:r w:rsidRPr="00571F1A">
              <w:rPr>
                <w:rFonts w:ascii="Verdana" w:hAnsi="Verdana"/>
                <w:b/>
                <w:sz w:val="22"/>
                <w:szCs w:val="22"/>
                <w:lang w:val="el-GR"/>
              </w:rPr>
              <w:t>,</w:t>
            </w:r>
            <w:r w:rsidR="00FC1EAD" w:rsidRPr="00571F1A">
              <w:rPr>
                <w:rFonts w:ascii="Verdana" w:hAnsi="Verdana"/>
                <w:b/>
                <w:sz w:val="22"/>
                <w:szCs w:val="22"/>
                <w:lang w:val="el-GR"/>
              </w:rPr>
              <w:t xml:space="preserve"> που </w:t>
            </w:r>
            <w:r w:rsidR="00900E6B" w:rsidRPr="00571F1A">
              <w:rPr>
                <w:rFonts w:ascii="Verdana" w:hAnsi="Verdana"/>
                <w:b/>
                <w:sz w:val="22"/>
                <w:szCs w:val="22"/>
                <w:lang w:val="el-GR"/>
              </w:rPr>
              <w:t xml:space="preserve">συνέπεσε </w:t>
            </w:r>
            <w:r w:rsidR="00FC1EAD" w:rsidRPr="00571F1A">
              <w:rPr>
                <w:rFonts w:ascii="Verdana" w:hAnsi="Verdana"/>
                <w:b/>
                <w:sz w:val="22"/>
                <w:szCs w:val="22"/>
                <w:lang w:val="el-GR"/>
              </w:rPr>
              <w:t xml:space="preserve"> μέσα στον Αύγο</w:t>
            </w:r>
            <w:r w:rsidRPr="00571F1A">
              <w:rPr>
                <w:rFonts w:ascii="Verdana" w:hAnsi="Verdana"/>
                <w:b/>
                <w:sz w:val="22"/>
                <w:szCs w:val="22"/>
                <w:lang w:val="el-GR"/>
              </w:rPr>
              <w:t>υστο</w:t>
            </w:r>
            <w:r w:rsidR="00900E6B" w:rsidRPr="00571F1A">
              <w:rPr>
                <w:rFonts w:ascii="Verdana" w:hAnsi="Verdana"/>
                <w:b/>
                <w:sz w:val="22"/>
                <w:szCs w:val="22"/>
                <w:lang w:val="el-GR"/>
              </w:rPr>
              <w:t xml:space="preserve">. </w:t>
            </w:r>
            <w:r w:rsidRPr="00571F1A">
              <w:rPr>
                <w:rFonts w:ascii="Verdana" w:hAnsi="Verdana"/>
                <w:b/>
                <w:sz w:val="22"/>
                <w:szCs w:val="22"/>
                <w:lang w:val="el-GR"/>
              </w:rPr>
              <w:t xml:space="preserve">Για θέμα αυτής της σοβαρότητας, ο χρόνος διαβούλευσης θα έπρεπε να είναι τέτοιος που να επιτρέπει την σε βάθος μελέτη του.  </w:t>
            </w:r>
          </w:p>
          <w:p w:rsidR="00904486" w:rsidRPr="00571F1A" w:rsidRDefault="00904486" w:rsidP="00195D9F">
            <w:pPr>
              <w:jc w:val="both"/>
              <w:rPr>
                <w:rFonts w:ascii="Verdana" w:hAnsi="Verdana"/>
                <w:sz w:val="22"/>
                <w:szCs w:val="22"/>
                <w:lang w:val="el-GR"/>
              </w:rPr>
            </w:pPr>
          </w:p>
          <w:p w:rsidR="00195D9F" w:rsidRPr="00571F1A" w:rsidRDefault="00904486" w:rsidP="00195D9F">
            <w:pPr>
              <w:jc w:val="both"/>
              <w:rPr>
                <w:rFonts w:ascii="Verdana" w:hAnsi="Verdana"/>
                <w:b/>
                <w:sz w:val="22"/>
                <w:szCs w:val="22"/>
                <w:lang w:val="el-GR"/>
              </w:rPr>
            </w:pPr>
            <w:r w:rsidRPr="00571F1A">
              <w:rPr>
                <w:rFonts w:ascii="Verdana" w:hAnsi="Verdana"/>
                <w:b/>
                <w:sz w:val="22"/>
                <w:szCs w:val="22"/>
                <w:lang w:val="el-GR"/>
              </w:rPr>
              <w:t xml:space="preserve">Β. </w:t>
            </w:r>
            <w:r w:rsidR="00195D9F" w:rsidRPr="00571F1A">
              <w:rPr>
                <w:rFonts w:ascii="Verdana" w:hAnsi="Verdana"/>
                <w:b/>
                <w:sz w:val="22"/>
                <w:szCs w:val="22"/>
                <w:lang w:val="el-GR"/>
              </w:rPr>
              <w:t>ΠΡΟΤΑΣΕΙΣ ΚΑΤ’ ΑΡΘΡΟ</w:t>
            </w:r>
          </w:p>
          <w:p w:rsidR="00904486" w:rsidRPr="00571F1A" w:rsidRDefault="00904486" w:rsidP="00195D9F">
            <w:pPr>
              <w:jc w:val="both"/>
              <w:rPr>
                <w:rFonts w:ascii="Verdana" w:hAnsi="Verdana"/>
                <w:b/>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w:t>
            </w:r>
            <w:r w:rsidR="00904486" w:rsidRPr="00571F1A">
              <w:rPr>
                <w:rFonts w:ascii="Verdana" w:hAnsi="Verdana"/>
                <w:b/>
                <w:sz w:val="22"/>
                <w:szCs w:val="22"/>
                <w:u w:val="single"/>
                <w:lang w:val="el-GR"/>
              </w:rPr>
              <w:t>.4Α</w:t>
            </w:r>
          </w:p>
          <w:p w:rsidR="00195D9F" w:rsidRPr="00571F1A" w:rsidRDefault="00195D9F" w:rsidP="00195D9F">
            <w:pPr>
              <w:jc w:val="both"/>
              <w:rPr>
                <w:rFonts w:ascii="Verdana" w:hAnsi="Verdana"/>
                <w:b/>
                <w:sz w:val="22"/>
                <w:szCs w:val="22"/>
                <w:lang w:val="el-GR"/>
              </w:rPr>
            </w:pPr>
            <w:r w:rsidRPr="00571F1A">
              <w:rPr>
                <w:rFonts w:ascii="Verdana" w:hAnsi="Verdana"/>
                <w:b/>
                <w:sz w:val="22"/>
                <w:szCs w:val="22"/>
                <w:lang w:val="el-GR"/>
              </w:rPr>
              <w:t>Στο Κεντρικό Συμβούλιο Χωροταξικών θεμάτων και Αμφισβητήσεων</w:t>
            </w:r>
            <w:r w:rsidRPr="00571F1A">
              <w:rPr>
                <w:rFonts w:ascii="Verdana" w:hAnsi="Verdana"/>
                <w:sz w:val="22"/>
                <w:szCs w:val="22"/>
                <w:lang w:val="el-GR"/>
              </w:rPr>
              <w:t xml:space="preserve"> πέραν της προβλεπόμενης συμμετοχής εκπροσώπου της αντίστοιχης Περιφέρειας σε περίπτωση που συζητείται θέμα Περιφερειακού Χωροταξικού Πλαισίου, </w:t>
            </w:r>
            <w:r w:rsidRPr="00571F1A">
              <w:rPr>
                <w:rFonts w:ascii="Verdana" w:hAnsi="Verdana"/>
                <w:b/>
                <w:sz w:val="22"/>
                <w:szCs w:val="22"/>
                <w:lang w:val="el-GR"/>
              </w:rPr>
              <w:t>να συμπεριληφθεί</w:t>
            </w:r>
            <w:r w:rsidR="00904486" w:rsidRPr="00571F1A">
              <w:rPr>
                <w:rFonts w:ascii="Verdana" w:hAnsi="Verdana"/>
                <w:b/>
                <w:sz w:val="22"/>
                <w:szCs w:val="22"/>
                <w:lang w:val="el-GR"/>
              </w:rPr>
              <w:t xml:space="preserve"> στην μόνιμη σύνθεσή του</w:t>
            </w:r>
            <w:r w:rsidRPr="00571F1A">
              <w:rPr>
                <w:rFonts w:ascii="Verdana" w:hAnsi="Verdana"/>
                <w:b/>
                <w:sz w:val="22"/>
                <w:szCs w:val="22"/>
                <w:lang w:val="el-GR"/>
              </w:rPr>
              <w:t xml:space="preserve"> και ένας εκπρόσωπος ΕΝΠΕ.</w:t>
            </w:r>
          </w:p>
          <w:p w:rsidR="00904486" w:rsidRPr="00571F1A" w:rsidRDefault="00904486" w:rsidP="00195D9F">
            <w:pPr>
              <w:jc w:val="both"/>
              <w:rPr>
                <w:rFonts w:ascii="Verdana" w:hAnsi="Verdana"/>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w:t>
            </w:r>
            <w:r w:rsidR="00904486" w:rsidRPr="00571F1A">
              <w:rPr>
                <w:rFonts w:ascii="Verdana" w:hAnsi="Verdana"/>
                <w:b/>
                <w:sz w:val="22"/>
                <w:szCs w:val="22"/>
                <w:u w:val="single"/>
                <w:lang w:val="el-GR"/>
              </w:rPr>
              <w:t>.</w:t>
            </w:r>
            <w:r w:rsidRPr="00571F1A">
              <w:rPr>
                <w:rFonts w:ascii="Verdana" w:hAnsi="Verdana"/>
                <w:b/>
                <w:sz w:val="22"/>
                <w:szCs w:val="22"/>
                <w:u w:val="single"/>
                <w:lang w:val="el-GR"/>
              </w:rPr>
              <w:t xml:space="preserve"> 10 Τοπικά Πολεοδομικά Σχέδια</w:t>
            </w:r>
            <w:r w:rsidR="00904486" w:rsidRPr="00571F1A">
              <w:rPr>
                <w:rFonts w:ascii="Verdana" w:hAnsi="Verdana"/>
                <w:b/>
                <w:sz w:val="22"/>
                <w:szCs w:val="22"/>
                <w:u w:val="single"/>
                <w:lang w:val="el-GR"/>
              </w:rPr>
              <w:t>.</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Στο άρθρο αυτό προβλέπονται ρυθμίσεις που αντικαθιστούν τις αντίστοιχες του </w:t>
            </w:r>
          </w:p>
          <w:p w:rsidR="00C15658" w:rsidRPr="00571F1A" w:rsidRDefault="00C15658" w:rsidP="00195D9F">
            <w:pPr>
              <w:jc w:val="both"/>
              <w:rPr>
                <w:rFonts w:ascii="Verdana" w:hAnsi="Verdana"/>
                <w:sz w:val="22"/>
                <w:szCs w:val="22"/>
                <w:lang w:val="el-GR"/>
              </w:rPr>
            </w:pPr>
            <w:r w:rsidRPr="00571F1A">
              <w:rPr>
                <w:rFonts w:ascii="Verdana" w:hAnsi="Verdana"/>
                <w:sz w:val="22"/>
                <w:szCs w:val="22"/>
                <w:lang w:val="el-GR"/>
              </w:rPr>
              <w:t>Ν.</w:t>
            </w:r>
            <w:r w:rsidR="00195D9F" w:rsidRPr="00571F1A">
              <w:rPr>
                <w:rFonts w:ascii="Verdana" w:hAnsi="Verdana"/>
                <w:sz w:val="22"/>
                <w:szCs w:val="22"/>
                <w:lang w:val="el-GR"/>
              </w:rPr>
              <w:t>250</w:t>
            </w:r>
            <w:r w:rsidRPr="00571F1A">
              <w:rPr>
                <w:rFonts w:ascii="Verdana" w:hAnsi="Verdana"/>
                <w:sz w:val="22"/>
                <w:szCs w:val="22"/>
                <w:lang w:val="el-GR"/>
              </w:rPr>
              <w:t>8/97 όπως τροποποιήθηκε με το Ν.</w:t>
            </w:r>
            <w:r w:rsidR="00195D9F" w:rsidRPr="00571F1A">
              <w:rPr>
                <w:rFonts w:ascii="Verdana" w:hAnsi="Verdana"/>
                <w:sz w:val="22"/>
                <w:szCs w:val="22"/>
                <w:lang w:val="el-GR"/>
              </w:rPr>
              <w:t xml:space="preserve">4447/16. </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Στην ουσία τα Τοπικά Πολεοδομικά Σχέδια είναι η μετεξέλιξη των ΓΠΣ και ΣΧΟΟΑΠ του Ν. 2508/97 και είναι τα κύρια σχέδια θεσμοθέτησης κανονιστικών ρυθμίσεων σε επίπεδο Δήμου ή Δημοτικής Ενότητας.</w:t>
            </w:r>
          </w:p>
          <w:p w:rsidR="00C15658" w:rsidRPr="00571F1A" w:rsidRDefault="00C15658" w:rsidP="00195D9F">
            <w:pPr>
              <w:jc w:val="both"/>
              <w:rPr>
                <w:rFonts w:ascii="Verdana" w:hAnsi="Verdana"/>
                <w:sz w:val="22"/>
                <w:szCs w:val="22"/>
                <w:lang w:val="el-GR"/>
              </w:rPr>
            </w:pPr>
            <w:r w:rsidRPr="00571F1A">
              <w:rPr>
                <w:rFonts w:ascii="Verdana" w:hAnsi="Verdana"/>
                <w:sz w:val="22"/>
                <w:szCs w:val="22"/>
                <w:lang w:val="el-GR"/>
              </w:rPr>
              <w:t>Στο Ν.</w:t>
            </w:r>
            <w:r w:rsidR="00195D9F" w:rsidRPr="00571F1A">
              <w:rPr>
                <w:rFonts w:ascii="Verdana" w:hAnsi="Verdana"/>
                <w:sz w:val="22"/>
                <w:szCs w:val="22"/>
                <w:lang w:val="el-GR"/>
              </w:rPr>
              <w:t xml:space="preserve">4447/16, στις μεταβατικές διατάξεις, προβλεπόταν ότι μελέτες ΓΠΣ και ΣΧΟΟΑΠ που είχαν ήδη ανατεθεί και εκπονούνταν με τις διατάξεις του </w:t>
            </w:r>
          </w:p>
          <w:p w:rsidR="00C15658" w:rsidRPr="00571F1A" w:rsidRDefault="00C15658" w:rsidP="00195D9F">
            <w:pPr>
              <w:jc w:val="both"/>
              <w:rPr>
                <w:rFonts w:ascii="Verdana" w:hAnsi="Verdana"/>
                <w:sz w:val="22"/>
                <w:szCs w:val="22"/>
                <w:lang w:val="el-GR"/>
              </w:rPr>
            </w:pPr>
            <w:r w:rsidRPr="00571F1A">
              <w:rPr>
                <w:rFonts w:ascii="Verdana" w:hAnsi="Verdana"/>
                <w:sz w:val="22"/>
                <w:szCs w:val="22"/>
                <w:lang w:val="el-GR"/>
              </w:rPr>
              <w:t>Ν.</w:t>
            </w:r>
            <w:r w:rsidR="00195D9F" w:rsidRPr="00571F1A">
              <w:rPr>
                <w:rFonts w:ascii="Verdana" w:hAnsi="Verdana"/>
                <w:sz w:val="22"/>
                <w:szCs w:val="22"/>
                <w:lang w:val="el-GR"/>
              </w:rPr>
              <w:t xml:space="preserve">2508/97, ολοκληρώνονται με τη διαδικασία και το θεσμικό πλαίσιο βάσει του οποίου ανατέθηκαν. </w:t>
            </w:r>
          </w:p>
          <w:p w:rsidR="00C15658" w:rsidRPr="00571F1A" w:rsidRDefault="00195D9F" w:rsidP="00195D9F">
            <w:pPr>
              <w:jc w:val="both"/>
              <w:rPr>
                <w:rFonts w:ascii="Verdana" w:hAnsi="Verdana"/>
                <w:sz w:val="22"/>
                <w:szCs w:val="22"/>
                <w:lang w:val="el-GR"/>
              </w:rPr>
            </w:pPr>
            <w:r w:rsidRPr="00571F1A">
              <w:rPr>
                <w:rFonts w:ascii="Verdana" w:hAnsi="Verdana"/>
                <w:sz w:val="22"/>
                <w:szCs w:val="22"/>
                <w:u w:val="single"/>
                <w:lang w:val="el-GR"/>
              </w:rPr>
              <w:t>Παρατηρούμε ότι στο παρόν Σ/Ν λείπει η αντίστοιχη ρύθμιση μεταβατικών διατάξεων.</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Με δεδομένο ότι οι μελέτες τέτοιου επιπέδου εκπονούνται και ολοκληρώνονται εντός μεγάλου χρονικού διαστήματος (πολλές φορές και πέραν της δεκαετίας), η μη πρόβλεψη μεταβατικών διατάξεων στο παρόν Σ/Ν θα επιφέρει στην ουσία την ακύρωση των τρεχουσών μελετών με ότι αυτό συνεπάγεται σε χρόνο και χρήμα αλλά κυρίως στην αναπτυξιακή διαδικασία των Δήμων. Μελέτες ΓΠΣ και ΣΧΟΟΑΠ εκπονούνται πολλές αυτή τη στιγμή σε </w:t>
            </w:r>
            <w:r w:rsidR="00C15658" w:rsidRPr="00571F1A">
              <w:rPr>
                <w:rFonts w:ascii="Verdana" w:hAnsi="Verdana"/>
                <w:sz w:val="22"/>
                <w:szCs w:val="22"/>
                <w:lang w:val="el-GR"/>
              </w:rPr>
              <w:t>ολόκληρη τη χώρα αλλά και στην Π</w:t>
            </w:r>
            <w:r w:rsidRPr="00571F1A">
              <w:rPr>
                <w:rFonts w:ascii="Verdana" w:hAnsi="Verdana"/>
                <w:sz w:val="22"/>
                <w:szCs w:val="22"/>
                <w:lang w:val="el-GR"/>
              </w:rPr>
              <w:t xml:space="preserve">εριφέρειά μας. </w:t>
            </w:r>
            <w:r w:rsidRPr="00571F1A">
              <w:rPr>
                <w:rFonts w:ascii="Verdana" w:hAnsi="Verdana"/>
                <w:b/>
                <w:sz w:val="22"/>
                <w:szCs w:val="22"/>
                <w:lang w:val="el-GR"/>
              </w:rPr>
              <w:t>Κρίνεται επομένως αναγκαίο στο παρόν άρθρο να προβλεφθεί μεταβατική διάταξη η οποία να αναφέρει ρητά ότι μελέτες ΓΠΣ και ΣΧΟΟΑΠ που έχουν ήδη ανατεθεί και εκπονούνται με τις διατ</w:t>
            </w:r>
            <w:r w:rsidR="00C15658" w:rsidRPr="00571F1A">
              <w:rPr>
                <w:rFonts w:ascii="Verdana" w:hAnsi="Verdana"/>
                <w:b/>
                <w:sz w:val="22"/>
                <w:szCs w:val="22"/>
                <w:lang w:val="el-GR"/>
              </w:rPr>
              <w:t>άξεις και τις διαδικασίες του Ν.</w:t>
            </w:r>
            <w:r w:rsidRPr="00571F1A">
              <w:rPr>
                <w:rFonts w:ascii="Verdana" w:hAnsi="Verdana"/>
                <w:b/>
                <w:sz w:val="22"/>
                <w:szCs w:val="22"/>
                <w:lang w:val="el-GR"/>
              </w:rPr>
              <w:t>2508/97, ολοκληρώνονται και θεσμοθετούνται σύμφωνα με τις διατάξεις με τις οποίες ανατέθηκαν.</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Στο ίδιο άρθρο προβλέπεται ότι η οικεία Περιφέρεια παρακολουθεί και αξιολογεί την </w:t>
            </w:r>
            <w:r w:rsidRPr="00571F1A">
              <w:rPr>
                <w:rFonts w:ascii="Verdana" w:hAnsi="Verdana"/>
                <w:sz w:val="22"/>
                <w:szCs w:val="22"/>
                <w:lang w:val="el-GR"/>
              </w:rPr>
              <w:lastRenderedPageBreak/>
              <w:t xml:space="preserve">πορεία των Τοπικών Πολεοδομικών Σχεδίων. Παράλληλα προβλέπεται ότι η κίνηση της διαδικασίας εκπόνησης γίνεται από το ΥΠΕΝ ή το Δήμο. Θεωρούμε ότι εφόσον  αναγνωρίζεται (σωστά) ο εποπτικός ρόλος της Περιφέρειας στην πολύ σημαντική αυτή διαδικασία χωρικών ρυθμίσεων κανονιστικού περιεχομένου, θα πρέπει </w:t>
            </w:r>
            <w:r w:rsidRPr="00571F1A">
              <w:rPr>
                <w:rFonts w:ascii="Verdana" w:hAnsi="Verdana"/>
                <w:b/>
                <w:sz w:val="22"/>
                <w:szCs w:val="22"/>
                <w:lang w:val="el-GR"/>
              </w:rPr>
              <w:t xml:space="preserve">να παρασχεθεί στην Περιφέρεια </w:t>
            </w:r>
            <w:r w:rsidR="00166E33" w:rsidRPr="00571F1A">
              <w:rPr>
                <w:rFonts w:ascii="Verdana" w:hAnsi="Verdana"/>
                <w:b/>
                <w:sz w:val="22"/>
                <w:szCs w:val="22"/>
                <w:lang w:val="el-GR"/>
              </w:rPr>
              <w:t xml:space="preserve">και </w:t>
            </w:r>
            <w:r w:rsidRPr="00571F1A">
              <w:rPr>
                <w:rFonts w:ascii="Verdana" w:hAnsi="Verdana"/>
                <w:b/>
                <w:sz w:val="22"/>
                <w:szCs w:val="22"/>
                <w:lang w:val="el-GR"/>
              </w:rPr>
              <w:t>η δυνατότητα κίνησης διαδικασίας εκπόνησης Τοπικού Χωρικού Σχεδίου</w:t>
            </w:r>
            <w:r w:rsidRPr="00571F1A">
              <w:rPr>
                <w:rFonts w:ascii="Verdana" w:hAnsi="Verdana"/>
                <w:sz w:val="22"/>
                <w:szCs w:val="22"/>
                <w:lang w:val="el-GR"/>
              </w:rPr>
              <w:t>. Επομένως πρέπει να συμπληρωθεί κατ’ αυτή την έννοια η παρ. 6</w:t>
            </w:r>
            <w:r w:rsidRPr="00571F1A">
              <w:rPr>
                <w:rFonts w:ascii="Verdana" w:hAnsi="Verdana"/>
                <w:sz w:val="22"/>
                <w:szCs w:val="22"/>
                <w:vertAlign w:val="superscript"/>
                <w:lang w:val="el-GR"/>
              </w:rPr>
              <w:t>α</w:t>
            </w:r>
            <w:r w:rsidRPr="00571F1A">
              <w:rPr>
                <w:rFonts w:ascii="Verdana" w:hAnsi="Verdana"/>
                <w:sz w:val="22"/>
                <w:szCs w:val="22"/>
                <w:lang w:val="el-GR"/>
              </w:rPr>
              <w:t xml:space="preserve"> του αρθ. 10. </w:t>
            </w:r>
            <w:r w:rsidRPr="00571F1A">
              <w:rPr>
                <w:rFonts w:ascii="Verdana" w:hAnsi="Verdana"/>
                <w:b/>
                <w:sz w:val="22"/>
                <w:szCs w:val="22"/>
                <w:lang w:val="el-GR"/>
              </w:rPr>
              <w:t>Επίσης να προβλεφθεί ρύθμιση δημιουργίας ηλεκτρονικής πλατφόρμας σε κάθε Περιφέρεια για το «</w:t>
            </w:r>
            <w:r w:rsidRPr="00571F1A">
              <w:rPr>
                <w:rFonts w:ascii="Verdana" w:hAnsi="Verdana"/>
                <w:b/>
                <w:sz w:val="22"/>
                <w:szCs w:val="22"/>
                <w:lang w:val="en-US"/>
              </w:rPr>
              <w:t>monitoring</w:t>
            </w:r>
            <w:r w:rsidRPr="00571F1A">
              <w:rPr>
                <w:rFonts w:ascii="Verdana" w:hAnsi="Verdana"/>
                <w:b/>
                <w:sz w:val="22"/>
                <w:szCs w:val="22"/>
                <w:lang w:val="el-GR"/>
              </w:rPr>
              <w:t>»</w:t>
            </w:r>
            <w:r w:rsidRPr="00571F1A">
              <w:rPr>
                <w:rFonts w:ascii="Verdana" w:hAnsi="Verdana"/>
                <w:sz w:val="22"/>
                <w:szCs w:val="22"/>
                <w:lang w:val="el-GR"/>
              </w:rPr>
              <w:t xml:space="preserve"> (παρακολούθηση) των μελετών αυτών.</w:t>
            </w:r>
          </w:p>
          <w:p w:rsidR="0038387F" w:rsidRPr="00571F1A" w:rsidRDefault="0038387F" w:rsidP="00195D9F">
            <w:pPr>
              <w:jc w:val="both"/>
              <w:rPr>
                <w:rFonts w:ascii="Verdana" w:hAnsi="Verdana"/>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 11 Ειδικά Πολεοδομικά Σχέδια</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Είναι ένα άρθρο οι ρυθμίσεις του οποίου μπορούν να «ξεμπλοκάρουν» αγκυλώσεις που προκύπτουν από τη χρονοβόρα, πολυδαίδαλη και εν πολλοίς αναποτελεσματική διαδικασία των χωρικών ρυθμίσεων, ανεξαρτήτως καλών προθέσεων. Έχει πεδίο εφαρμογής κυρίως σε αναπτυξιακά προγράμματα δημοσίων φορέων ή ιδιωτών που απαιτούν πρότερη διαδικασία χωροθέτησης, δίχως να απαιτείται η σύνταξ</w:t>
            </w:r>
            <w:r w:rsidR="00166E33" w:rsidRPr="00571F1A">
              <w:rPr>
                <w:rFonts w:ascii="Verdana" w:hAnsi="Verdana"/>
                <w:sz w:val="22"/>
                <w:szCs w:val="22"/>
                <w:lang w:val="el-GR"/>
              </w:rPr>
              <w:t>η ολόκληρου σχεδίου (ΓΠΣ – ΣΧΟΟ</w:t>
            </w:r>
            <w:r w:rsidRPr="00571F1A">
              <w:rPr>
                <w:rFonts w:ascii="Verdana" w:hAnsi="Verdana"/>
                <w:sz w:val="22"/>
                <w:szCs w:val="22"/>
                <w:lang w:val="el-GR"/>
              </w:rPr>
              <w:t xml:space="preserve">ΑΠ ή Τοπικού Πολεοδομικού Σχεδίου) που πολλές φορές επιφέρουν </w:t>
            </w:r>
            <w:r w:rsidR="00166E33" w:rsidRPr="00571F1A">
              <w:rPr>
                <w:rFonts w:ascii="Verdana" w:hAnsi="Verdana"/>
                <w:sz w:val="22"/>
                <w:szCs w:val="22"/>
                <w:lang w:val="el-GR"/>
              </w:rPr>
              <w:t>πολύ μεγάλες καθυστερήσεις</w:t>
            </w:r>
            <w:r w:rsidRPr="00571F1A">
              <w:rPr>
                <w:rFonts w:ascii="Verdana" w:hAnsi="Verdana"/>
                <w:sz w:val="22"/>
                <w:szCs w:val="22"/>
                <w:lang w:val="el-GR"/>
              </w:rPr>
              <w:t xml:space="preserve"> εις βάρος οποιασδήποτε ιδιωτικής πρωτοβουλίας αφού η εκπόνηση του ευρύτερου πλαισίου που περιλαμβάνει τη χωροθέτηση μπορεί να διαρκέσει και δεκαετίες όπως προειπώθηκε ακόμη και αν υπάρχουν οι καλύτερες των προθέσεων. Κλασική περίπτωση οι Περιοχές Ειδικά Ρυθμιζόμενης Πολεοδόμησης (ΠΕΡΠΟ) ένα σύγχρονο «εργαλείο» πολεοδομικού σχεδιασμού κυρίως με ιδιωτικά μέσα που δεν επιφέρει ουδεμία επιβάρυνση στο Δήμο ή στο κράτος. Η απαιτούμενη διαδικασία χωροθέτησης τέτοιων ζωνών μέσα από ΓΠΣ – ΣΧΟΟΑΠ ή σύμφωνα με τον παρόντα Νόμο μέσω των Τοπικών Πολεοδομικών Σχεδίων, απαιτεί βούληση του οικείου Δήμου να συντάξει τον ευρύτερο σχεδιασμό (ο οποίος τις περισσότερες φορές ακυρώνεται λόγω πολλών παραγόντων που στο μεταξύ υπεισέρχονται) αλλά και πολύ χρόνο.  Τόσο στην Περιφέρειά μας όσο και σε επίπεδο χώρας, υπάρχουν ιδιωτικοί φορείς που περιμένουν δεκαετίες για να πολεοδομήσουν την έκτασή τους σαν ζώνη ΠΕΡΠΟ λόγω των αγκυλώσεων που προαναφέραμε. </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Στην παρ. 2.α. του παρόντος άρθρου προβλέπεται ότι για τα Ειδικά Πολεοδομικά Σχέδια εφαρμόζονται, κατά περίπτωση, οι περ. α’ έως δ’ της παρ. 3 του άρθρου 7, στις οποίες φαίνεται ότι συμπεριλαμβάνονται και οι ζώνες ΠΕΡΠΟ. Οι ζώνες αυτές όπως προαναφέραμε είναι ένα σύγχρονο εργαλείο πολεοδομικού που δεν επιφέρει επιβάρυνση στο κράτος. Θα ήταν επομένως κρίσιμο αν δινόταν η δυνατότητα στον ίδιο το φορέα της προς πολεοδόμηση έκτασης να κινήσει την κατά νόμο διαδικασία μέσω του παρόντος άρθρου με πεδίο αναφοράς την έκταση προς πολεοδόμηση. Κατόπιν αυτών και επειδή οι γενικεύσεις συνήθως δημιουργούν παρερμηνείες, </w:t>
            </w:r>
            <w:r w:rsidRPr="00571F1A">
              <w:rPr>
                <w:rFonts w:ascii="Verdana" w:hAnsi="Verdana"/>
                <w:b/>
                <w:sz w:val="22"/>
                <w:szCs w:val="22"/>
                <w:lang w:val="el-GR"/>
              </w:rPr>
              <w:t>θεωρούμε ότι πρέπει να αναφερθεί ρητά στο παρόν άρθρο ότι οι ζώνες ΠΕΡΠΟ αποτελούν αντικείμενο των Ειδικών Πολεοδομικών Πλαισίων</w:t>
            </w:r>
            <w:r w:rsidRPr="00571F1A">
              <w:rPr>
                <w:rFonts w:ascii="Verdana" w:hAnsi="Verdana"/>
                <w:sz w:val="22"/>
                <w:szCs w:val="22"/>
                <w:lang w:val="el-GR"/>
              </w:rPr>
              <w:t>, όπως ρητά προβλέπεται για άλλες κατηγορίες χρήσεων στην παρ. 9. Η ρύθμιση αυτή είναι κρίσιμη και θα αποτρέψει κυκεώνα ερωτημάτων που θα προκύψουν κατά την εφαρμογή του Νόμου.</w:t>
            </w:r>
          </w:p>
          <w:p w:rsidR="00571F1A" w:rsidRPr="00571F1A" w:rsidRDefault="00195D9F" w:rsidP="00195D9F">
            <w:pPr>
              <w:jc w:val="both"/>
              <w:rPr>
                <w:rFonts w:ascii="Verdana" w:hAnsi="Verdana"/>
                <w:sz w:val="22"/>
                <w:szCs w:val="22"/>
                <w:lang w:val="el-GR"/>
              </w:rPr>
            </w:pPr>
            <w:r w:rsidRPr="00571F1A">
              <w:rPr>
                <w:rFonts w:ascii="Verdana" w:hAnsi="Verdana"/>
                <w:sz w:val="22"/>
                <w:szCs w:val="22"/>
                <w:lang w:val="el-GR"/>
              </w:rPr>
              <w:t>Στην παρ. 9</w:t>
            </w:r>
            <w:r w:rsidR="007A657D" w:rsidRPr="00571F1A">
              <w:rPr>
                <w:rFonts w:ascii="Verdana" w:hAnsi="Verdana"/>
                <w:sz w:val="22"/>
                <w:szCs w:val="22"/>
                <w:lang w:val="el-GR"/>
              </w:rPr>
              <w:t>Α</w:t>
            </w:r>
            <w:r w:rsidRPr="00571F1A">
              <w:rPr>
                <w:rFonts w:ascii="Verdana" w:hAnsi="Verdana"/>
                <w:sz w:val="22"/>
                <w:szCs w:val="22"/>
                <w:lang w:val="el-GR"/>
              </w:rPr>
              <w:t xml:space="preserve"> του άρθρου αυτού, προβλέπεται ότι τα </w:t>
            </w:r>
            <w:r w:rsidRPr="00571F1A">
              <w:rPr>
                <w:rFonts w:ascii="Verdana" w:hAnsi="Verdana"/>
                <w:b/>
                <w:sz w:val="22"/>
                <w:szCs w:val="22"/>
                <w:lang w:val="el-GR"/>
              </w:rPr>
              <w:t>«τοπικά ρυμοτομικά σχέδια»</w:t>
            </w:r>
            <w:r w:rsidRPr="00571F1A">
              <w:rPr>
                <w:rFonts w:ascii="Verdana" w:hAnsi="Verdana"/>
                <w:sz w:val="22"/>
                <w:szCs w:val="22"/>
                <w:lang w:val="el-GR"/>
              </w:rPr>
              <w:t xml:space="preserve"> κατά την έννοια των διατάξεω</w:t>
            </w:r>
            <w:r w:rsidR="00C15658" w:rsidRPr="00571F1A">
              <w:rPr>
                <w:rFonts w:ascii="Verdana" w:hAnsi="Verdana"/>
                <w:sz w:val="22"/>
                <w:szCs w:val="22"/>
                <w:lang w:val="el-GR"/>
              </w:rPr>
              <w:t>ν του αρθ. 26 του Ν.</w:t>
            </w:r>
            <w:r w:rsidRPr="00571F1A">
              <w:rPr>
                <w:rFonts w:ascii="Verdana" w:hAnsi="Verdana"/>
                <w:sz w:val="22"/>
                <w:szCs w:val="22"/>
                <w:lang w:val="el-GR"/>
              </w:rPr>
              <w:t>1337/83</w:t>
            </w:r>
            <w:r w:rsidR="007A657D" w:rsidRPr="00571F1A">
              <w:rPr>
                <w:rFonts w:ascii="Verdana" w:hAnsi="Verdana"/>
                <w:sz w:val="22"/>
                <w:szCs w:val="22"/>
                <w:lang w:val="el-GR"/>
              </w:rPr>
              <w:t xml:space="preserve"> θεσμοθετούνται σαν Ε</w:t>
            </w:r>
            <w:r w:rsidRPr="00571F1A">
              <w:rPr>
                <w:rFonts w:ascii="Verdana" w:hAnsi="Verdana"/>
                <w:sz w:val="22"/>
                <w:szCs w:val="22"/>
                <w:lang w:val="el-GR"/>
              </w:rPr>
              <w:t xml:space="preserve">ιδικά Πολεοδομικά Σχέδια με τις ειδικές </w:t>
            </w:r>
            <w:r w:rsidR="007A657D" w:rsidRPr="00571F1A">
              <w:rPr>
                <w:rFonts w:ascii="Verdana" w:hAnsi="Verdana"/>
                <w:sz w:val="22"/>
                <w:szCs w:val="22"/>
                <w:lang w:val="el-GR"/>
              </w:rPr>
              <w:t xml:space="preserve">όμως </w:t>
            </w:r>
            <w:r w:rsidRPr="00571F1A">
              <w:rPr>
                <w:rFonts w:ascii="Verdana" w:hAnsi="Verdana"/>
                <w:sz w:val="22"/>
                <w:szCs w:val="22"/>
                <w:lang w:val="el-GR"/>
              </w:rPr>
              <w:t xml:space="preserve">διαδικασίες που τα διέπουν. Τα σχέδια αυτά χωροθετούν και προσδιορίζουν όρους δόμησης σε εκτός σχεδίου περιοχές για  την ανέγερση κτιρίων δημόσιων και δημοτικών σκοπών και γενικά κτιρίων κοινής ωφέλειας. </w:t>
            </w:r>
          </w:p>
          <w:p w:rsidR="00C15658" w:rsidRPr="00571F1A" w:rsidRDefault="00195D9F" w:rsidP="00195D9F">
            <w:pPr>
              <w:jc w:val="both"/>
              <w:rPr>
                <w:rFonts w:ascii="Verdana" w:hAnsi="Verdana"/>
                <w:sz w:val="22"/>
                <w:szCs w:val="22"/>
                <w:lang w:val="el-GR"/>
              </w:rPr>
            </w:pPr>
            <w:r w:rsidRPr="00571F1A">
              <w:rPr>
                <w:rFonts w:ascii="Verdana" w:hAnsi="Verdana"/>
                <w:b/>
                <w:sz w:val="22"/>
                <w:szCs w:val="22"/>
                <w:lang w:val="el-GR"/>
              </w:rPr>
              <w:t>Αποτελούν ένα κρίσιμο «εργαλείο» στα χέρια κυρίως των Δήμων και μια «απλουστευμένη» διαδικασία σχεδιασμού για τη χωροθέτηση και ανέγερση κτιρίων σχολικών μονάδων κλπ</w:t>
            </w:r>
            <w:r w:rsidRPr="00571F1A">
              <w:rPr>
                <w:rFonts w:ascii="Verdana" w:hAnsi="Verdana"/>
                <w:sz w:val="22"/>
                <w:szCs w:val="22"/>
                <w:lang w:val="el-GR"/>
              </w:rPr>
              <w:t xml:space="preserve">.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Η διαδικασία θεσμοθέτησης των σχεδίων αυτών πέρασε όλα τα στάδια. Από τους κρατικούς Νομάρχες, τους Γ.Γ. Αποκεντρωμένων Διοικήσεων και νυν Συντονιστές, </w:t>
            </w:r>
            <w:r w:rsidRPr="00571F1A">
              <w:rPr>
                <w:rFonts w:ascii="Verdana" w:hAnsi="Verdana"/>
                <w:sz w:val="22"/>
                <w:szCs w:val="22"/>
                <w:lang w:val="el-GR"/>
              </w:rPr>
              <w:lastRenderedPageBreak/>
              <w:t xml:space="preserve">τους Υπουργούς ΠΕΧΩΔΕ για να καταλήξουν σήμερα να θεσμοθετούνται με Π.Δγμα. Η έκδοση του Π.Δγματος αυτού απαιτεί χρόνο δυσανάλογο του επιδιωκόμενου σκοπού. Μπορεί να περάσει και ολόκληρη θητεία μιας Δημοτικής Αρχής και το Δγμα να μην έχει εκδοθεί ακυρώνοντας στην ουσία τον προγραμματισμό των αντίστοιχων Δήμων. Παράλληλα, οι Περιφερειάρχες της χώρας, συμμετέχουν μόνο «γνωμοδοτικά» ή «εισηγητικά» στη διαδικασία </w:t>
            </w:r>
            <w:r w:rsidR="007A657D" w:rsidRPr="00571F1A">
              <w:rPr>
                <w:rFonts w:ascii="Verdana" w:hAnsi="Verdana"/>
                <w:sz w:val="22"/>
                <w:szCs w:val="22"/>
                <w:lang w:val="el-GR"/>
              </w:rPr>
              <w:t xml:space="preserve">αυτή </w:t>
            </w:r>
            <w:r w:rsidRPr="00571F1A">
              <w:rPr>
                <w:rFonts w:ascii="Verdana" w:hAnsi="Verdana"/>
                <w:sz w:val="22"/>
                <w:szCs w:val="22"/>
                <w:lang w:val="el-GR"/>
              </w:rPr>
              <w:t>όπως εξ΄αλλου και οι Δήμοι, σε αντίθεση με τα τεκταινόμενα εδώ και δεκαετίες στην Ε.Ε. όπου ο σχεδιασμός αυτού του είδους αποτελεί κλασική αρμοδιότητα της Τοπικής Αυτοδιοίκησης</w:t>
            </w:r>
            <w:r w:rsidR="007A657D" w:rsidRPr="00571F1A">
              <w:rPr>
                <w:rFonts w:ascii="Verdana" w:hAnsi="Verdana"/>
                <w:sz w:val="22"/>
                <w:szCs w:val="22"/>
                <w:lang w:val="el-GR"/>
              </w:rPr>
              <w:t xml:space="preserve"> και μάλιστα του Α’ Βαθμού</w:t>
            </w:r>
            <w:r w:rsidRPr="00571F1A">
              <w:rPr>
                <w:rFonts w:ascii="Verdana" w:hAnsi="Verdana"/>
                <w:sz w:val="22"/>
                <w:szCs w:val="22"/>
                <w:lang w:val="el-GR"/>
              </w:rPr>
              <w:t xml:space="preserve">. Όπως προαναφέραμε, η κλασική επωδός για τη μη εκχώρηση αρμοδιοτήτων χωρικών ρυθμίσεων στην Τ.Α. Α’ και Β’ βαθμού είναι ότι κάτι τέτοιο προσκρούσει στο αρθ 24 του Συντάγματος. Στην ουσία όμως πρόκειται για «νομολογίες» που οδηγούν προς αυτή την κατεύθυνση διότι πέραν του αρθ. 24 που αναφέρει ότι ο χωρικός σχεδιασμός ανήκει στη ρυθμιστική αρμοδιότητα του κράτους, υπάρχει και το αρθ. 102 που αναφέρει ότι με Νόμο μπορούν να εκχωρούνται «κρατικές» αρμοδιότητες στην Τ.Α. </w:t>
            </w:r>
          </w:p>
          <w:p w:rsidR="00C15658" w:rsidRPr="00571F1A" w:rsidRDefault="00195D9F" w:rsidP="00195D9F">
            <w:pPr>
              <w:jc w:val="both"/>
              <w:rPr>
                <w:rFonts w:ascii="Verdana" w:hAnsi="Verdana"/>
                <w:sz w:val="22"/>
                <w:szCs w:val="22"/>
                <w:lang w:val="el-GR"/>
              </w:rPr>
            </w:pPr>
            <w:r w:rsidRPr="00571F1A">
              <w:rPr>
                <w:rFonts w:ascii="Verdana" w:hAnsi="Verdana"/>
                <w:b/>
                <w:sz w:val="22"/>
                <w:szCs w:val="22"/>
                <w:lang w:val="el-GR"/>
              </w:rPr>
              <w:t>Θεωρούμε ότι η σύνταξη και θεσμοθέτηση ενός τοπικού ρυμοτομικού αποτελεί εντοπισμένη ρύθμιση μικρής έκτασης και επομένως τοπικό θέμα</w:t>
            </w:r>
            <w:r w:rsidRPr="00571F1A">
              <w:rPr>
                <w:rFonts w:ascii="Verdana" w:hAnsi="Verdana"/>
                <w:sz w:val="22"/>
                <w:szCs w:val="22"/>
                <w:lang w:val="el-GR"/>
              </w:rPr>
              <w:t xml:space="preserve">, </w:t>
            </w:r>
            <w:r w:rsidRPr="00571F1A">
              <w:rPr>
                <w:rFonts w:ascii="Verdana" w:hAnsi="Verdana"/>
                <w:b/>
                <w:sz w:val="22"/>
                <w:szCs w:val="22"/>
                <w:lang w:val="el-GR"/>
              </w:rPr>
              <w:t>η αρμοδιότητα του οποίου θα μπορούσε να μεταφερθεί στους Περιφερειάρχες της χώρας.</w:t>
            </w:r>
            <w:r w:rsidRPr="00571F1A">
              <w:rPr>
                <w:rFonts w:ascii="Verdana" w:hAnsi="Verdana"/>
                <w:sz w:val="22"/>
                <w:szCs w:val="22"/>
                <w:lang w:val="el-GR"/>
              </w:rPr>
              <w:t xml:space="preserve"> Με τον τρόπο αυτό θα λύνονταν πολλά προβλήματα (κυρίως από πλευράς χρόνου) των Δήμων που επιθυμούν να δημιουργήσουν κοινωνικές υποδομές </w:t>
            </w:r>
            <w:r w:rsidR="007A657D" w:rsidRPr="00571F1A">
              <w:rPr>
                <w:rFonts w:ascii="Verdana" w:hAnsi="Verdana"/>
                <w:sz w:val="22"/>
                <w:szCs w:val="22"/>
                <w:lang w:val="el-GR"/>
              </w:rPr>
              <w:t xml:space="preserve">(σχολεία κλπ) </w:t>
            </w:r>
            <w:r w:rsidRPr="00571F1A">
              <w:rPr>
                <w:rFonts w:ascii="Verdana" w:hAnsi="Verdana"/>
                <w:sz w:val="22"/>
                <w:szCs w:val="22"/>
                <w:lang w:val="el-GR"/>
              </w:rPr>
              <w:t xml:space="preserve">σε εκτός σχεδίου περιοχές μέχρι την ολοκλήρωση του χωρικού τους σχεδιασμού που </w:t>
            </w:r>
            <w:r w:rsidR="007A657D" w:rsidRPr="00571F1A">
              <w:rPr>
                <w:rFonts w:ascii="Verdana" w:hAnsi="Verdana"/>
                <w:sz w:val="22"/>
                <w:szCs w:val="22"/>
                <w:lang w:val="el-GR"/>
              </w:rPr>
              <w:t>μέχρι στιγμής</w:t>
            </w:r>
            <w:r w:rsidRPr="00571F1A">
              <w:rPr>
                <w:rFonts w:ascii="Verdana" w:hAnsi="Verdana"/>
                <w:sz w:val="22"/>
                <w:szCs w:val="22"/>
                <w:lang w:val="el-GR"/>
              </w:rPr>
              <w:t xml:space="preserve"> παραμένει σε επίπεδα ευχών.</w:t>
            </w:r>
          </w:p>
          <w:p w:rsidR="00C15658" w:rsidRPr="00571F1A" w:rsidRDefault="00195D9F" w:rsidP="00195D9F">
            <w:pPr>
              <w:jc w:val="both"/>
              <w:rPr>
                <w:rFonts w:ascii="Verdana" w:hAnsi="Verdana"/>
                <w:b/>
                <w:sz w:val="22"/>
                <w:szCs w:val="22"/>
                <w:lang w:val="el-GR"/>
              </w:rPr>
            </w:pPr>
            <w:r w:rsidRPr="00571F1A">
              <w:rPr>
                <w:rFonts w:ascii="Verdana" w:hAnsi="Verdana"/>
                <w:b/>
                <w:sz w:val="22"/>
                <w:szCs w:val="22"/>
                <w:lang w:val="el-GR"/>
              </w:rPr>
              <w:t>Προτείνουμε επομένως η θεσμοθέτηση των «τοπικών ρυμοτομικών σχεδίων» να  γίνεται με Απόφαση Περιφερειάρχη κατό</w:t>
            </w:r>
            <w:r w:rsidR="00C15658" w:rsidRPr="00571F1A">
              <w:rPr>
                <w:rFonts w:ascii="Verdana" w:hAnsi="Verdana"/>
                <w:b/>
                <w:sz w:val="22"/>
                <w:szCs w:val="22"/>
                <w:lang w:val="el-GR"/>
              </w:rPr>
              <w:t>πιν γνώμης του οικείου ΣΥΠΟΘΑ.</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Επαναλαμβάνουμε ότι μια τέτοια ρύθμιση θα επιδράσει θετικά στη ζητούμενη αποκέντρωση και στον προγραμματισμό των Δήμων.</w:t>
            </w:r>
          </w:p>
          <w:p w:rsidR="007A657D" w:rsidRPr="00571F1A" w:rsidRDefault="007A657D" w:rsidP="00195D9F">
            <w:pPr>
              <w:jc w:val="both"/>
              <w:rPr>
                <w:rFonts w:ascii="Verdana" w:hAnsi="Verdana"/>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 xml:space="preserve">Οριοθέτηση υδατορεμάτων.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Οι Περιφέρειες της χώρας έχουν την ευθύνη αστυνόμευσης των υδατορεμάτων, ωστόσο δεν έχουν την αρμοδιότητας οριοθέτησής τους</w:t>
            </w:r>
            <w:r w:rsidR="00C15658" w:rsidRPr="00571F1A">
              <w:rPr>
                <w:rFonts w:ascii="Verdana" w:hAnsi="Verdana"/>
                <w:sz w:val="22"/>
                <w:szCs w:val="22"/>
                <w:lang w:val="el-GR"/>
              </w:rPr>
              <w:t>,</w:t>
            </w:r>
            <w:r w:rsidRPr="00571F1A">
              <w:rPr>
                <w:rFonts w:ascii="Verdana" w:hAnsi="Verdana"/>
                <w:sz w:val="22"/>
                <w:szCs w:val="22"/>
                <w:lang w:val="el-GR"/>
              </w:rPr>
              <w:t xml:space="preserve"> η οποία αποτελεί προϋπόθεση για πολλές άλλες κανονιστικές πράξεις ή αδειοδοτήσεις.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Έτσι τη στιγμή αυτή τα υδατορέματα οριοθετούνται με </w:t>
            </w:r>
            <w:r w:rsidR="00C15658" w:rsidRPr="00571F1A">
              <w:rPr>
                <w:rFonts w:ascii="Verdana" w:hAnsi="Verdana"/>
                <w:sz w:val="22"/>
                <w:szCs w:val="22"/>
                <w:lang w:val="el-GR"/>
              </w:rPr>
              <w:t>Απόφαση Συντονιστή Α.Δ. ή με Π.</w:t>
            </w:r>
            <w:r w:rsidRPr="00571F1A">
              <w:rPr>
                <w:rFonts w:ascii="Verdana" w:hAnsi="Verdana"/>
                <w:sz w:val="22"/>
                <w:szCs w:val="22"/>
                <w:lang w:val="el-GR"/>
              </w:rPr>
              <w:t xml:space="preserve">Δγμα υπό προϋποθέσεις (αν διέρχονται αρχαιολογικής ζώνης, προστατευόμενης περιοχής κλπ).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Τις περισσότερες φορές, τουλάχιστο για το νησιωτικό μας σύμπλεγμα απαιτείται Π.Δγμα.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Στο παρόν Σ/Ν προβλέπεται ότι η οριοθέτησή τους μπορεί να γίνεται με Π.Δγμα μέσω των Τοπικών ή Ειδικών Πολεοδομικών Σχεδίων.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Υπάρχουν ωστόσο πολλές περιπτώσεις που πρέπει να γίνει οριοθέτηση ανεξάρτητα οποιουδήποτε χωρικού σχεδιασμού καθότι όπως προαναφέρθηκε η πράξη αυτή αποτελεί προϋπόθεση για μια σειρά </w:t>
            </w:r>
            <w:r w:rsidR="00BA024C" w:rsidRPr="00571F1A">
              <w:rPr>
                <w:rFonts w:ascii="Verdana" w:hAnsi="Verdana"/>
                <w:sz w:val="22"/>
                <w:szCs w:val="22"/>
                <w:lang w:val="el-GR"/>
              </w:rPr>
              <w:t xml:space="preserve">από </w:t>
            </w:r>
            <w:r w:rsidRPr="00571F1A">
              <w:rPr>
                <w:rFonts w:ascii="Verdana" w:hAnsi="Verdana"/>
                <w:sz w:val="22"/>
                <w:szCs w:val="22"/>
                <w:lang w:val="el-GR"/>
              </w:rPr>
              <w:t xml:space="preserve">άλλες διοικητικές πράξεις. Θεωρούμε ότι η διαχείριση των υδατορεμάτων στο σύνολό τους (αστυνόμευση + οριοθέτηση) πρέπει να αποτελεί αρμοδιότητας της Β’ βάθμιας Τ.Α. </w:t>
            </w:r>
          </w:p>
          <w:p w:rsidR="00C15658" w:rsidRPr="00571F1A" w:rsidRDefault="00195D9F" w:rsidP="00195D9F">
            <w:pPr>
              <w:jc w:val="both"/>
              <w:rPr>
                <w:rFonts w:ascii="Verdana" w:hAnsi="Verdana"/>
                <w:b/>
                <w:sz w:val="22"/>
                <w:szCs w:val="22"/>
                <w:lang w:val="el-GR"/>
              </w:rPr>
            </w:pPr>
            <w:r w:rsidRPr="00571F1A">
              <w:rPr>
                <w:rFonts w:ascii="Verdana" w:hAnsi="Verdana"/>
                <w:sz w:val="22"/>
                <w:szCs w:val="22"/>
                <w:lang w:val="el-GR"/>
              </w:rPr>
              <w:t>Μια τέτοια ρύθμιση δεν προσκρούει οπουδήποτε και θα επέλυε σωρεία υπαρκτών προβλημάτων</w:t>
            </w:r>
            <w:r w:rsidRPr="00571F1A">
              <w:rPr>
                <w:rFonts w:ascii="Verdana" w:hAnsi="Verdana"/>
                <w:b/>
                <w:sz w:val="22"/>
                <w:szCs w:val="22"/>
                <w:lang w:val="el-GR"/>
              </w:rPr>
              <w:t xml:space="preserve">. </w:t>
            </w:r>
          </w:p>
          <w:p w:rsidR="00195D9F" w:rsidRPr="00571F1A" w:rsidRDefault="00195D9F" w:rsidP="00195D9F">
            <w:pPr>
              <w:jc w:val="both"/>
              <w:rPr>
                <w:rFonts w:ascii="Verdana" w:hAnsi="Verdana"/>
                <w:b/>
                <w:sz w:val="22"/>
                <w:szCs w:val="22"/>
                <w:lang w:val="el-GR"/>
              </w:rPr>
            </w:pPr>
            <w:r w:rsidRPr="00571F1A">
              <w:rPr>
                <w:rFonts w:ascii="Verdana" w:hAnsi="Verdana"/>
                <w:b/>
                <w:sz w:val="22"/>
                <w:szCs w:val="22"/>
                <w:lang w:val="el-GR"/>
              </w:rPr>
              <w:t xml:space="preserve">Προτείνουμε επομένως η  οριοθέτηση των υδατορεμάτων μεμονωμένων ή συνόλου να γίνεται με απόφαση Περιφερειάρχη, πλην ασφαλώς των περιπτώσεων που </w:t>
            </w:r>
            <w:r w:rsidR="00BA024C" w:rsidRPr="00571F1A">
              <w:rPr>
                <w:rFonts w:ascii="Verdana" w:hAnsi="Verdana"/>
                <w:b/>
                <w:sz w:val="22"/>
                <w:szCs w:val="22"/>
                <w:lang w:val="el-GR"/>
              </w:rPr>
              <w:t>εντάσσονται σε χωρικό σχεδιασμό</w:t>
            </w:r>
            <w:r w:rsidRPr="00571F1A">
              <w:rPr>
                <w:rFonts w:ascii="Verdana" w:hAnsi="Verdana"/>
                <w:b/>
                <w:sz w:val="22"/>
                <w:szCs w:val="22"/>
                <w:lang w:val="el-GR"/>
              </w:rPr>
              <w:t>.</w:t>
            </w:r>
          </w:p>
          <w:p w:rsidR="00C15658" w:rsidRPr="00571F1A" w:rsidRDefault="00C15658" w:rsidP="00195D9F">
            <w:pPr>
              <w:jc w:val="both"/>
              <w:rPr>
                <w:rFonts w:ascii="Verdana" w:hAnsi="Verdana"/>
                <w:b/>
                <w:sz w:val="22"/>
                <w:szCs w:val="22"/>
                <w:lang w:val="el-GR"/>
              </w:rPr>
            </w:pPr>
          </w:p>
          <w:p w:rsidR="00BA024C" w:rsidRPr="00571F1A" w:rsidRDefault="00BA024C" w:rsidP="00195D9F">
            <w:pPr>
              <w:jc w:val="both"/>
              <w:rPr>
                <w:rFonts w:ascii="Verdana" w:hAnsi="Verdana"/>
                <w:b/>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 xml:space="preserve">Αρθ. 14 Σχεδιασμός και χαρακτηρισμός Δημοτικών Οδών.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Σχεδόν σε όλη την Ε.Ε. οι δημοτικές οδοί χαρακτηρίζονται από τον ίδιο το Δήμο αφού αποτελούν ιδιοκτησία του και αυτός έχει την ευθύνη συντήρησής τους.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lastRenderedPageBreak/>
              <w:t>Στη χώρα μας και πάλι «δένουμε» τα χέρια μόνοι μας αφού συνδέουμε την ύπαρξη μιας οδού με το δικαίωμα δόμησης και με το αν προϋφίσταται του 1923 δηλαδή ένα αιώνα πριν (!), λόγω αγκυλώσεων που προέρχονται από διάφορες «νομολογίες» όπ</w:t>
            </w:r>
            <w:r w:rsidR="00BA024C" w:rsidRPr="00571F1A">
              <w:rPr>
                <w:rFonts w:ascii="Verdana" w:hAnsi="Verdana"/>
                <w:sz w:val="22"/>
                <w:szCs w:val="22"/>
                <w:lang w:val="el-GR"/>
              </w:rPr>
              <w:t>ως προϋπό</w:t>
            </w:r>
            <w:r w:rsidRPr="00571F1A">
              <w:rPr>
                <w:rFonts w:ascii="Verdana" w:hAnsi="Verdana"/>
                <w:sz w:val="22"/>
                <w:szCs w:val="22"/>
                <w:lang w:val="el-GR"/>
              </w:rPr>
              <w:t xml:space="preserve">θηκε.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Με το παρόν ΣΝ απαιτείται η έκδοση ενός ολόκληρου Π.Δτος</w:t>
            </w:r>
            <w:r w:rsidR="00BA024C" w:rsidRPr="00571F1A">
              <w:rPr>
                <w:rFonts w:ascii="Verdana" w:hAnsi="Verdana"/>
                <w:sz w:val="22"/>
                <w:szCs w:val="22"/>
                <w:lang w:val="el-GR"/>
              </w:rPr>
              <w:t>κατόπιν ειδικής μελέτης</w:t>
            </w:r>
            <w:r w:rsidRPr="00571F1A">
              <w:rPr>
                <w:rFonts w:ascii="Verdana" w:hAnsi="Verdana"/>
                <w:sz w:val="22"/>
                <w:szCs w:val="22"/>
                <w:lang w:val="el-GR"/>
              </w:rPr>
              <w:t xml:space="preserve"> για να χαρακτηρισθεί μια οδός ως δημοτική. Το γεγονός αυτό και πάλι θα επιφέρει σωρεία καθυστερήσεων και αγκυλώσεων σε πολλαπλά επίπεδα. Θεωρούμε ότι και αυτή είναι κλασική περίπτωση αρμοδιότητας που πρέπει να έχουν οι Περιφερειάρχες της χώρας με βάση την αρχή της εγγύτητας και επικουρικότητας με τους Δήμους. Το απαιτούν οι συνθήκες. </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Επομένως </w:t>
            </w:r>
            <w:r w:rsidRPr="00571F1A">
              <w:rPr>
                <w:rFonts w:ascii="Verdana" w:hAnsi="Verdana"/>
                <w:b/>
                <w:sz w:val="22"/>
                <w:szCs w:val="22"/>
                <w:lang w:val="el-GR"/>
              </w:rPr>
              <w:t xml:space="preserve">προτείνουμε ο χαρακτηρισμός των δημοτικών οδών κατά το άρθρο αυτό να γίνεται με Απόφαση Περιφερειάρχη, </w:t>
            </w:r>
            <w:r w:rsidRPr="00571F1A">
              <w:rPr>
                <w:rFonts w:ascii="Verdana" w:hAnsi="Verdana"/>
                <w:sz w:val="22"/>
                <w:szCs w:val="22"/>
                <w:lang w:val="el-GR"/>
              </w:rPr>
              <w:t xml:space="preserve">όπως </w:t>
            </w:r>
            <w:r w:rsidR="00BA024C" w:rsidRPr="00571F1A">
              <w:rPr>
                <w:rFonts w:ascii="Verdana" w:hAnsi="Verdana"/>
                <w:sz w:val="22"/>
                <w:szCs w:val="22"/>
                <w:lang w:val="el-GR"/>
              </w:rPr>
              <w:t xml:space="preserve">εξ’ άλλου </w:t>
            </w:r>
            <w:r w:rsidRPr="00571F1A">
              <w:rPr>
                <w:rFonts w:ascii="Verdana" w:hAnsi="Verdana"/>
                <w:sz w:val="22"/>
                <w:szCs w:val="22"/>
                <w:lang w:val="el-GR"/>
              </w:rPr>
              <w:t>γινόταν παλαιότερα με Απόφαση Νομάρχη.</w:t>
            </w:r>
          </w:p>
          <w:p w:rsidR="00C15658" w:rsidRPr="00571F1A" w:rsidRDefault="00195D9F" w:rsidP="00195D9F">
            <w:pPr>
              <w:jc w:val="both"/>
              <w:rPr>
                <w:rFonts w:ascii="Verdana" w:hAnsi="Verdana"/>
                <w:sz w:val="22"/>
                <w:szCs w:val="22"/>
                <w:lang w:val="el-GR"/>
              </w:rPr>
            </w:pPr>
            <w:r w:rsidRPr="00571F1A">
              <w:rPr>
                <w:rFonts w:ascii="Verdana" w:hAnsi="Verdana"/>
                <w:b/>
                <w:sz w:val="22"/>
                <w:szCs w:val="22"/>
                <w:lang w:val="el-GR"/>
              </w:rPr>
              <w:t>Πλέον αυτού και μέχρι του νέου χαρακτηρισμού τους, θα δημιουργηθούν ζητήματα οικοδομησιμότητας των γηπέδων που έχουν πρόσωπο σε αυτές</w:t>
            </w:r>
            <w:r w:rsidRPr="00571F1A">
              <w:rPr>
                <w:rFonts w:ascii="Verdana" w:hAnsi="Verdana"/>
                <w:sz w:val="22"/>
                <w:szCs w:val="22"/>
                <w:lang w:val="el-GR"/>
              </w:rPr>
              <w:t xml:space="preserve">. Είναι κατά την κρίση μας ορθή η κατεύθυνση του παρόντος Σ/Ν για «συρρίκνωση» της εκτός σχεδίου δόμησης. Ωστόσο για να γίνει αυτό πρέπει να υπάρξει ένα μεταβατικό στάδιο το οποίο δεν μπορεί να αφορά μόνο στις παρεκκλίσεις προσώπου. </w:t>
            </w:r>
          </w:p>
          <w:p w:rsidR="00C15658" w:rsidRPr="00571F1A" w:rsidRDefault="00195D9F" w:rsidP="00195D9F">
            <w:pPr>
              <w:jc w:val="both"/>
              <w:rPr>
                <w:rFonts w:ascii="Verdana" w:hAnsi="Verdana"/>
                <w:sz w:val="22"/>
                <w:szCs w:val="22"/>
                <w:lang w:val="el-GR"/>
              </w:rPr>
            </w:pPr>
            <w:r w:rsidRPr="00571F1A">
              <w:rPr>
                <w:rFonts w:ascii="Verdana" w:hAnsi="Verdana"/>
                <w:sz w:val="22"/>
                <w:szCs w:val="22"/>
                <w:lang w:val="el-GR"/>
              </w:rPr>
              <w:t>Στα Δωδεκάνησα είναι γνωστό ότι είχε συνταχθεί από το 1923 κτηματολόγιο το οποίο είναι σε ισχύ μέχρι σήμερα. Εκεί υπάρχει καταγεγραμμένο το προϋφιστάμενο οδικό δίκτυο. Επί του δικτύου</w:t>
            </w:r>
            <w:r w:rsidR="00BA024C" w:rsidRPr="00571F1A">
              <w:rPr>
                <w:rFonts w:ascii="Verdana" w:hAnsi="Verdana"/>
                <w:sz w:val="22"/>
                <w:szCs w:val="22"/>
                <w:lang w:val="el-GR"/>
              </w:rPr>
              <w:t xml:space="preserve"> αυτού έχει εκδοθεί πολύ μεγάλο</w:t>
            </w:r>
            <w:r w:rsidRPr="00571F1A">
              <w:rPr>
                <w:rFonts w:ascii="Verdana" w:hAnsi="Verdana"/>
                <w:sz w:val="22"/>
                <w:szCs w:val="22"/>
                <w:lang w:val="el-GR"/>
              </w:rPr>
              <w:t xml:space="preserve"> μέρος των μέχρι σήμερα οικοδομικών αδειών. </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Σύμφωνα με το παρόν Σ/Ν οι προϋφιστάμενοι του 1923 δρόμοι μπορούν να χαρακτηρισθούν με τη διαδικασία που περιγράψαμε παραπάνω ως δημοτικές οδοί με δικαίωμα δόμησης εφ</w:t>
            </w:r>
            <w:r w:rsidR="00C15658" w:rsidRPr="00571F1A">
              <w:rPr>
                <w:rFonts w:ascii="Verdana" w:hAnsi="Verdana"/>
                <w:sz w:val="22"/>
                <w:szCs w:val="22"/>
                <w:lang w:val="el-GR"/>
              </w:rPr>
              <w:t>όσον είναι πλάτους άνω των 6μ.</w:t>
            </w:r>
            <w:r w:rsidRPr="00571F1A">
              <w:rPr>
                <w:rFonts w:ascii="Verdana" w:hAnsi="Verdana"/>
                <w:sz w:val="22"/>
                <w:szCs w:val="22"/>
                <w:lang w:val="el-GR"/>
              </w:rPr>
              <w:t xml:space="preserve"> Μέχρι τότε όμως διαφαίνεται ότι οι παρόδιες νομίμως υφιστάμενες ιδιοκτησίες που θέλουν να επεκταθούν δεν θα μπορέσουν να το κάνουν. Υπάρχουν επίσης πολλές ιδιοκτησίες στις οποίες οικοδομήθηκαν με νόμιμη άδεια ξενοδοχειακές, επαγγελματικές, βιοτεχνικές εγκαταστάσεις κλπ οι οποίες για να επεκταθούν ή να ανανεώσουν την άδεια λειτουργίας τους απαιτείται πλέον χαρακτηρισμός της οδού πρόσβασης και στη συνέχεια να λάβουν άδεια «εισόδου – εξόδου» ή κόμβου. Είναι ένα υπαρκτό πρόβλημα μεγάλης έκτασης το οποίο πρέπει να ρυθμιστεί άμεσα. </w:t>
            </w:r>
          </w:p>
          <w:p w:rsidR="00195D9F" w:rsidRPr="00571F1A" w:rsidRDefault="00195D9F" w:rsidP="00195D9F">
            <w:pPr>
              <w:jc w:val="both"/>
              <w:rPr>
                <w:rFonts w:ascii="Verdana" w:hAnsi="Verdana"/>
                <w:sz w:val="22"/>
                <w:szCs w:val="22"/>
                <w:u w:val="single"/>
                <w:lang w:val="el-GR"/>
              </w:rPr>
            </w:pPr>
            <w:r w:rsidRPr="00571F1A">
              <w:rPr>
                <w:rFonts w:ascii="Verdana" w:hAnsi="Verdana"/>
                <w:sz w:val="22"/>
                <w:szCs w:val="22"/>
                <w:lang w:val="el-GR"/>
              </w:rPr>
              <w:t>Προτείνουμε να προστεθεί εδάφιο στο παρόν άρθρο ή στο αρθ</w:t>
            </w:r>
            <w:r w:rsidR="00A612E0" w:rsidRPr="00571F1A">
              <w:rPr>
                <w:rFonts w:ascii="Verdana" w:hAnsi="Verdana"/>
                <w:sz w:val="22"/>
                <w:szCs w:val="22"/>
                <w:lang w:val="el-GR"/>
              </w:rPr>
              <w:t>.</w:t>
            </w:r>
            <w:r w:rsidRPr="00571F1A">
              <w:rPr>
                <w:rFonts w:ascii="Verdana" w:hAnsi="Verdana"/>
                <w:sz w:val="22"/>
                <w:szCs w:val="22"/>
                <w:lang w:val="el-GR"/>
              </w:rPr>
              <w:t xml:space="preserve"> 28 περί γενικών διατάξεων της εκτός σχεδίου δόμησης που να προβλέπει ότι  μέχρι την κατηγοριοποίηση των δημοτικών δρόμων κατά την έννοια των διατάξεων του αρθ. 14 του παρόντος Σ/Ν</w:t>
            </w:r>
            <w:r w:rsidR="00BA024C" w:rsidRPr="00571F1A">
              <w:rPr>
                <w:rFonts w:ascii="Verdana" w:hAnsi="Verdana"/>
                <w:sz w:val="22"/>
                <w:szCs w:val="22"/>
                <w:lang w:val="el-GR"/>
              </w:rPr>
              <w:t xml:space="preserve"> ή του χαρακτηρισμού οδών ως κοινόχρηστων χώρων, </w:t>
            </w:r>
            <w:r w:rsidRPr="00571F1A">
              <w:rPr>
                <w:rFonts w:ascii="Verdana" w:hAnsi="Verdana"/>
                <w:b/>
                <w:sz w:val="22"/>
                <w:szCs w:val="22"/>
                <w:lang w:val="el-GR"/>
              </w:rPr>
              <w:t>οικοδομικές άδειες που έχουν εκδοθεί για κάθε χρήση, αναθεωρούνται και επεκτείνονται ως έχουν και όπου απαιτείται μπορούν να εκδίδονται άδειες «εισόδου – εξόδου» ή κόμβων πρόσβασης προς τις αντίστοιχες ιδιοκτησίες κατά την κείμενη νομοθεσία</w:t>
            </w:r>
            <w:r w:rsidRPr="00571F1A">
              <w:rPr>
                <w:rFonts w:ascii="Verdana" w:hAnsi="Verdana"/>
                <w:sz w:val="22"/>
                <w:szCs w:val="22"/>
                <w:lang w:val="el-GR"/>
              </w:rPr>
              <w:t xml:space="preserve">. </w:t>
            </w:r>
            <w:r w:rsidRPr="00571F1A">
              <w:rPr>
                <w:rFonts w:ascii="Verdana" w:hAnsi="Verdana"/>
                <w:sz w:val="22"/>
                <w:szCs w:val="22"/>
                <w:u w:val="single"/>
                <w:lang w:val="el-GR"/>
              </w:rPr>
              <w:t xml:space="preserve">Η ρύθμιση αυτή είναι κρίσιμη τόσο για τα υφιστάμενα ειδικά κτίρια αλλά και εν μέρει για κατοικίες. </w:t>
            </w:r>
          </w:p>
          <w:p w:rsidR="00195D9F" w:rsidRPr="00571F1A" w:rsidRDefault="00195D9F" w:rsidP="00195D9F">
            <w:pPr>
              <w:jc w:val="both"/>
              <w:rPr>
                <w:rFonts w:ascii="Verdana" w:hAnsi="Verdana"/>
                <w:sz w:val="22"/>
                <w:szCs w:val="22"/>
                <w:lang w:val="el-GR"/>
              </w:rPr>
            </w:pPr>
            <w:r w:rsidRPr="00571F1A">
              <w:rPr>
                <w:rFonts w:ascii="Verdana" w:hAnsi="Verdana"/>
                <w:b/>
                <w:sz w:val="22"/>
                <w:szCs w:val="22"/>
                <w:lang w:val="el-GR"/>
              </w:rPr>
              <w:t>Επίσης θεωρούμε ότι πρέπει να γίνει ειδική αναφορά στο Ιταλικό κτηματολόγιο της Δωδ/σου το οποίο είναι σε ισχύ, που να προβλέπει ότι υφιστάμενοι κτηματολογικοί δρόμοι πλάτους τουλάχιστο 4 μ</w:t>
            </w:r>
            <w:r w:rsidRPr="00571F1A">
              <w:rPr>
                <w:rFonts w:ascii="Verdana" w:hAnsi="Verdana"/>
                <w:sz w:val="22"/>
                <w:szCs w:val="22"/>
                <w:lang w:val="el-GR"/>
              </w:rPr>
              <w:t xml:space="preserve"> (τόσο είναι το μέσο πλάτος τους) </w:t>
            </w:r>
            <w:r w:rsidRPr="00571F1A">
              <w:rPr>
                <w:rFonts w:ascii="Verdana" w:hAnsi="Verdana"/>
                <w:b/>
                <w:sz w:val="22"/>
                <w:szCs w:val="22"/>
                <w:lang w:val="el-GR"/>
              </w:rPr>
              <w:t>θεωρούνται δημοτικές οδοί Α κατηγορίας</w:t>
            </w:r>
            <w:r w:rsidRPr="00571F1A">
              <w:rPr>
                <w:rFonts w:ascii="Verdana" w:hAnsi="Verdana"/>
                <w:sz w:val="22"/>
                <w:szCs w:val="22"/>
                <w:lang w:val="el-GR"/>
              </w:rPr>
              <w:t xml:space="preserve"> μέχρι να ενταχθούν στις νέες ρυθμίσεις κατά την έννοια των προβλέψεων του αρθ. αυτού. Και η ρύθμιση αυτή θα επιλύσει πολλά προβλήματα κατά μείζονα δε λόγο όταν οι κτηματολογικοί δρόμοι είναι ήδη προς αιώνος θεσμοθετημένοι σε αντιδιαστολή με την υπόλοιπη χώρα.</w:t>
            </w:r>
          </w:p>
          <w:p w:rsidR="00A612E0" w:rsidRPr="00571F1A" w:rsidRDefault="00A612E0" w:rsidP="00195D9F">
            <w:pPr>
              <w:jc w:val="both"/>
              <w:rPr>
                <w:rFonts w:ascii="Verdana" w:hAnsi="Verdana"/>
                <w:sz w:val="22"/>
                <w:szCs w:val="22"/>
                <w:lang w:val="el-GR"/>
              </w:rPr>
            </w:pPr>
          </w:p>
          <w:p w:rsidR="0026483D" w:rsidRPr="00571F1A" w:rsidRDefault="0026483D" w:rsidP="00195D9F">
            <w:pPr>
              <w:jc w:val="both"/>
              <w:rPr>
                <w:rFonts w:ascii="Verdana" w:hAnsi="Verdana"/>
                <w:sz w:val="22"/>
                <w:szCs w:val="22"/>
                <w:lang w:val="el-GR"/>
              </w:rPr>
            </w:pPr>
            <w:r w:rsidRPr="00571F1A">
              <w:rPr>
                <w:rFonts w:ascii="Verdana" w:hAnsi="Verdana"/>
                <w:sz w:val="22"/>
                <w:szCs w:val="22"/>
                <w:lang w:val="el-GR"/>
              </w:rPr>
              <w:t xml:space="preserve">Πέραν αυτού στα πλαίσια της ιδιαιτερότητας του νησιωτικού τοπίου </w:t>
            </w:r>
            <w:r w:rsidR="003325B9" w:rsidRPr="00571F1A">
              <w:rPr>
                <w:rFonts w:ascii="Verdana" w:hAnsi="Verdana"/>
                <w:sz w:val="22"/>
                <w:szCs w:val="22"/>
                <w:lang w:val="el-GR"/>
              </w:rPr>
              <w:t xml:space="preserve">(ξερολιθιές κλπ) </w:t>
            </w:r>
            <w:r w:rsidRPr="00571F1A">
              <w:rPr>
                <w:rFonts w:ascii="Verdana" w:hAnsi="Verdana"/>
                <w:sz w:val="22"/>
                <w:szCs w:val="22"/>
                <w:lang w:val="el-GR"/>
              </w:rPr>
              <w:t>και επομένως των νησιωτικών πολιτικών θεωρούμε ότι δρόμοι που εντάσσονται αρμονικά στο περιβάλλον και έχουν πλάτος λιγότερο από 6 μ. όπως γι</w:t>
            </w:r>
            <w:r w:rsidR="00A612E0" w:rsidRPr="00571F1A">
              <w:rPr>
                <w:rFonts w:ascii="Verdana" w:hAnsi="Verdana"/>
                <w:sz w:val="22"/>
                <w:szCs w:val="22"/>
                <w:lang w:val="el-GR"/>
              </w:rPr>
              <w:t>α παράδειγμα συμβαίνει σε πολλά νησιά των Κυκλάδων και της Δωδεκανήσου</w:t>
            </w:r>
            <w:r w:rsidRPr="00571F1A">
              <w:rPr>
                <w:rFonts w:ascii="Verdana" w:hAnsi="Verdana"/>
                <w:sz w:val="22"/>
                <w:szCs w:val="22"/>
                <w:lang w:val="el-GR"/>
              </w:rPr>
              <w:t xml:space="preserve">, πρέπει να </w:t>
            </w:r>
            <w:r w:rsidRPr="00571F1A">
              <w:rPr>
                <w:rFonts w:ascii="Verdana" w:hAnsi="Verdana"/>
                <w:sz w:val="22"/>
                <w:szCs w:val="22"/>
                <w:lang w:val="el-GR"/>
              </w:rPr>
              <w:lastRenderedPageBreak/>
              <w:t>παραμείνουν ως έχουν. Επομένως πρέπει να παρασχεθεί η δυνατότητα στη συνολική μελέτη που θα γίνει για το χαρακτηρισμό των δημοτικών οδών, να υπάρξουν και πλάτη οδών μικρότερα από 6 μ</w:t>
            </w:r>
            <w:r w:rsidR="006B48BB" w:rsidRPr="00571F1A">
              <w:rPr>
                <w:rFonts w:ascii="Verdana" w:hAnsi="Verdana"/>
                <w:sz w:val="22"/>
                <w:szCs w:val="22"/>
                <w:lang w:val="el-GR"/>
              </w:rPr>
              <w:t>. ειδικά για τις νησιωτικές περιοχές και ανάλογα με την ιδιαιτερότητα του τοπίου.</w:t>
            </w:r>
          </w:p>
          <w:p w:rsidR="00BA024C" w:rsidRPr="00571F1A" w:rsidRDefault="00BA024C" w:rsidP="00195D9F">
            <w:pPr>
              <w:jc w:val="both"/>
              <w:rPr>
                <w:rFonts w:ascii="Verdana" w:hAnsi="Verdana"/>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 28. Ειδικές διατάξεις για την εκτός σχεδίου δόμηση.</w:t>
            </w:r>
          </w:p>
          <w:p w:rsidR="00195D9F" w:rsidRPr="00571F1A" w:rsidRDefault="00195D9F" w:rsidP="00195D9F">
            <w:pPr>
              <w:jc w:val="both"/>
              <w:rPr>
                <w:rFonts w:ascii="Verdana" w:hAnsi="Verdana"/>
                <w:b/>
                <w:sz w:val="22"/>
                <w:szCs w:val="22"/>
                <w:lang w:val="el-GR"/>
              </w:rPr>
            </w:pPr>
            <w:r w:rsidRPr="00571F1A">
              <w:rPr>
                <w:rFonts w:ascii="Verdana" w:hAnsi="Verdana"/>
                <w:sz w:val="22"/>
                <w:szCs w:val="22"/>
                <w:lang w:val="el-GR"/>
              </w:rPr>
              <w:t>Στο αρθ</w:t>
            </w:r>
            <w:r w:rsidR="001A1E4E" w:rsidRPr="00571F1A">
              <w:rPr>
                <w:rFonts w:ascii="Verdana" w:hAnsi="Verdana"/>
                <w:sz w:val="22"/>
                <w:szCs w:val="22"/>
                <w:lang w:val="el-GR"/>
              </w:rPr>
              <w:t>.</w:t>
            </w:r>
            <w:r w:rsidRPr="00571F1A">
              <w:rPr>
                <w:rFonts w:ascii="Verdana" w:hAnsi="Verdana"/>
                <w:sz w:val="22"/>
                <w:szCs w:val="22"/>
                <w:lang w:val="el-GR"/>
              </w:rPr>
              <w:t xml:space="preserve"> αυτό προβλέπεται μια τάση «συρρίκνωσης» της εκτός σχεδίου δόμησης η οποία έχει βάση, απαιτεί όμως την ολοκλήρωση του χωρικού σχεδιασμού που κατά την κρίση μας θα αργήσει. Ειδικά για τα τουριστικά καταλύματα το όρια αρτιότητας αυξάνεται από 4.000 που είναι για τις λοιπές κατηγορίες, σε 8.000 μ2 με την επιφύλαξη ειδικών ρυθμίσεων που θα επέλθουν μεταγενέστερα με Υπουργική Απόφαση. Θεωρούμε ότι σαν μέτρο είναι σωστό, δεν μπορεί να έχει όμως πεδίο εφαρμογής σε μικρά νησιά όπου η γη είναι εκ των πραγμάτων περιορισμένη. </w:t>
            </w:r>
            <w:r w:rsidRPr="00571F1A">
              <w:rPr>
                <w:rFonts w:ascii="Verdana" w:hAnsi="Verdana"/>
                <w:b/>
                <w:sz w:val="22"/>
                <w:szCs w:val="22"/>
                <w:lang w:val="el-GR"/>
              </w:rPr>
              <w:t>Προτείνουμε στα πλαίσια των νησιωτικών πολιτικών, το όριο αρτιότητας των γηπέδων προοριζόμενων για χρήση τουριστικών καταλυμάτων σε νησιά &lt; 3.000 κατ.  να ανέρχεται σε 4.000 μ2</w:t>
            </w:r>
            <w:r w:rsidR="00ED2DBD" w:rsidRPr="00571F1A">
              <w:rPr>
                <w:rFonts w:ascii="Verdana" w:hAnsi="Verdana"/>
                <w:b/>
                <w:sz w:val="22"/>
                <w:szCs w:val="22"/>
                <w:lang w:val="el-GR"/>
              </w:rPr>
              <w:t>.</w:t>
            </w:r>
          </w:p>
          <w:p w:rsidR="003325B9" w:rsidRPr="00571F1A" w:rsidRDefault="003325B9" w:rsidP="00195D9F">
            <w:pPr>
              <w:jc w:val="both"/>
              <w:rPr>
                <w:rFonts w:ascii="Verdana" w:hAnsi="Verdana"/>
                <w:sz w:val="22"/>
                <w:szCs w:val="22"/>
                <w:lang w:val="el-GR"/>
              </w:rPr>
            </w:pPr>
            <w:r w:rsidRPr="00571F1A">
              <w:rPr>
                <w:rFonts w:ascii="Verdana" w:hAnsi="Verdana"/>
                <w:sz w:val="22"/>
                <w:szCs w:val="22"/>
                <w:lang w:val="el-GR"/>
              </w:rPr>
              <w:t xml:space="preserve">Θεωρούμε ότι το προτεινόμενο μήκος προσώπου 45 μ. επί κοινόχρηστου χώρου προκειμένου να καταστεί άρτιο ένα γήπεδο είναι ανεδαφικό, τουλάχιστο για τις νησιωτικές περιοχές. Προτείνουμε να παραμείνει στα 25 μ. </w:t>
            </w:r>
          </w:p>
          <w:p w:rsidR="000761E8" w:rsidRPr="00571F1A" w:rsidRDefault="003325B9" w:rsidP="00195D9F">
            <w:pPr>
              <w:jc w:val="both"/>
              <w:rPr>
                <w:rFonts w:ascii="Verdana" w:hAnsi="Verdana"/>
                <w:sz w:val="22"/>
                <w:szCs w:val="22"/>
                <w:lang w:val="el-GR"/>
              </w:rPr>
            </w:pPr>
            <w:r w:rsidRPr="00571F1A">
              <w:rPr>
                <w:rFonts w:ascii="Verdana" w:hAnsi="Verdana" w:hint="eastAsia"/>
                <w:sz w:val="22"/>
                <w:szCs w:val="22"/>
                <w:lang w:val="el-GR"/>
              </w:rPr>
              <w:t>Ηπαρέκκλισητων</w:t>
            </w:r>
            <w:r w:rsidRPr="00571F1A">
              <w:rPr>
                <w:rFonts w:ascii="Verdana" w:hAnsi="Verdana"/>
                <w:sz w:val="22"/>
                <w:szCs w:val="22"/>
                <w:lang w:val="el-GR"/>
              </w:rPr>
              <w:t xml:space="preserve"> 2000 </w:t>
            </w:r>
            <w:r w:rsidRPr="00571F1A">
              <w:rPr>
                <w:rFonts w:ascii="Verdana" w:hAnsi="Verdana" w:hint="eastAsia"/>
                <w:sz w:val="22"/>
                <w:szCs w:val="22"/>
                <w:lang w:val="el-GR"/>
              </w:rPr>
              <w:t>τ</w:t>
            </w:r>
            <w:r w:rsidRPr="00571F1A">
              <w:rPr>
                <w:rFonts w:ascii="Verdana" w:hAnsi="Verdana"/>
                <w:sz w:val="22"/>
                <w:szCs w:val="22"/>
                <w:lang w:val="el-GR"/>
              </w:rPr>
              <w:t>.</w:t>
            </w:r>
            <w:r w:rsidRPr="00571F1A">
              <w:rPr>
                <w:rFonts w:ascii="Verdana" w:hAnsi="Verdana" w:hint="eastAsia"/>
                <w:sz w:val="22"/>
                <w:szCs w:val="22"/>
                <w:lang w:val="el-GR"/>
              </w:rPr>
              <w:t>μ</w:t>
            </w:r>
            <w:r w:rsidRPr="00571F1A">
              <w:rPr>
                <w:rFonts w:ascii="Verdana" w:hAnsi="Verdana"/>
                <w:sz w:val="22"/>
                <w:szCs w:val="22"/>
                <w:lang w:val="el-GR"/>
              </w:rPr>
              <w:t xml:space="preserve">. </w:t>
            </w:r>
            <w:r w:rsidR="000761E8" w:rsidRPr="00571F1A">
              <w:rPr>
                <w:rFonts w:ascii="Verdana" w:hAnsi="Verdana"/>
                <w:sz w:val="22"/>
                <w:szCs w:val="22"/>
                <w:lang w:val="el-GR"/>
              </w:rPr>
              <w:t xml:space="preserve">σε εκτός σχεδίου περιοχές </w:t>
            </w:r>
            <w:r w:rsidRPr="00571F1A">
              <w:rPr>
                <w:rFonts w:ascii="Verdana" w:hAnsi="Verdana" w:hint="eastAsia"/>
                <w:sz w:val="22"/>
                <w:szCs w:val="22"/>
                <w:lang w:val="el-GR"/>
              </w:rPr>
              <w:t>γιαοικόπεδαεντός</w:t>
            </w:r>
            <w:r w:rsidRPr="00571F1A">
              <w:rPr>
                <w:rFonts w:ascii="Verdana" w:hAnsi="Verdana"/>
                <w:sz w:val="22"/>
                <w:szCs w:val="22"/>
                <w:lang w:val="el-GR"/>
              </w:rPr>
              <w:t xml:space="preserve"> 500 </w:t>
            </w:r>
            <w:r w:rsidRPr="00571F1A">
              <w:rPr>
                <w:rFonts w:ascii="Verdana" w:hAnsi="Verdana" w:hint="eastAsia"/>
                <w:sz w:val="22"/>
                <w:szCs w:val="22"/>
                <w:lang w:val="el-GR"/>
              </w:rPr>
              <w:t xml:space="preserve">μέτρωναπό τα όρια </w:t>
            </w:r>
            <w:r w:rsidRPr="00571F1A">
              <w:rPr>
                <w:rFonts w:ascii="Verdana" w:hAnsi="Verdana"/>
                <w:sz w:val="22"/>
                <w:szCs w:val="22"/>
                <w:lang w:val="el-GR"/>
              </w:rPr>
              <w:t xml:space="preserve">(πυκνοδομημένο τμήμα) των οικισμών </w:t>
            </w:r>
            <w:r w:rsidR="000761E8" w:rsidRPr="00571F1A">
              <w:rPr>
                <w:rFonts w:ascii="Verdana" w:hAnsi="Verdana"/>
                <w:sz w:val="22"/>
                <w:szCs w:val="22"/>
                <w:lang w:val="el-GR"/>
              </w:rPr>
              <w:t xml:space="preserve">(εντός ζώνης) </w:t>
            </w:r>
            <w:r w:rsidRPr="00571F1A">
              <w:rPr>
                <w:rFonts w:ascii="Verdana" w:hAnsi="Verdana" w:hint="eastAsia"/>
                <w:sz w:val="22"/>
                <w:szCs w:val="22"/>
                <w:lang w:val="el-GR"/>
              </w:rPr>
              <w:t>θαπρέπειναδιατηρηθείωςέχεικαθότιοιπεριοχέςαυτέςαποτελούνσυνέχειατωνοικισμών</w:t>
            </w:r>
            <w:r w:rsidRPr="00571F1A">
              <w:rPr>
                <w:rFonts w:ascii="Verdana" w:hAnsi="Verdana"/>
                <w:sz w:val="22"/>
                <w:szCs w:val="22"/>
                <w:lang w:val="el-GR"/>
              </w:rPr>
              <w:t xml:space="preserve">, </w:t>
            </w:r>
            <w:r w:rsidRPr="00571F1A">
              <w:rPr>
                <w:rFonts w:ascii="Verdana" w:hAnsi="Verdana" w:hint="eastAsia"/>
                <w:sz w:val="22"/>
                <w:szCs w:val="22"/>
                <w:lang w:val="el-GR"/>
              </w:rPr>
              <w:t>τωνοποίωνταόριακαθορίστηκαν</w:t>
            </w:r>
            <w:r w:rsidR="000761E8" w:rsidRPr="00571F1A">
              <w:rPr>
                <w:rFonts w:ascii="Verdana" w:hAnsi="Verdana"/>
                <w:sz w:val="22"/>
                <w:szCs w:val="22"/>
                <w:lang w:val="el-GR"/>
              </w:rPr>
              <w:t>δεκαετίες πριν</w:t>
            </w:r>
            <w:r w:rsidRPr="00571F1A">
              <w:rPr>
                <w:rFonts w:ascii="Verdana" w:hAnsi="Verdana" w:hint="eastAsia"/>
                <w:sz w:val="22"/>
                <w:szCs w:val="22"/>
                <w:lang w:val="el-GR"/>
              </w:rPr>
              <w:t>αλλάέκτοτε</w:t>
            </w:r>
            <w:r w:rsidRPr="00571F1A">
              <w:rPr>
                <w:rFonts w:ascii="Verdana" w:hAnsi="Verdana"/>
                <w:sz w:val="22"/>
                <w:szCs w:val="22"/>
                <w:lang w:val="el-GR"/>
              </w:rPr>
              <w:t xml:space="preserve">, </w:t>
            </w:r>
            <w:r w:rsidRPr="00571F1A">
              <w:rPr>
                <w:rFonts w:ascii="Verdana" w:hAnsi="Verdana" w:hint="eastAsia"/>
                <w:sz w:val="22"/>
                <w:szCs w:val="22"/>
                <w:lang w:val="el-GR"/>
              </w:rPr>
              <w:t>πληνελάχιστωνεξαιρέσεων</w:t>
            </w:r>
            <w:r w:rsidRPr="00571F1A">
              <w:rPr>
                <w:rFonts w:ascii="Verdana" w:hAnsi="Verdana"/>
                <w:sz w:val="22"/>
                <w:szCs w:val="22"/>
                <w:lang w:val="el-GR"/>
              </w:rPr>
              <w:t xml:space="preserve">, </w:t>
            </w:r>
            <w:r w:rsidRPr="00571F1A">
              <w:rPr>
                <w:rFonts w:ascii="Verdana" w:hAnsi="Verdana" w:hint="eastAsia"/>
                <w:sz w:val="22"/>
                <w:szCs w:val="22"/>
                <w:lang w:val="el-GR"/>
              </w:rPr>
              <w:t>δενεπεκτάθηκανέωςσήμερα</w:t>
            </w:r>
            <w:r w:rsidRPr="00571F1A">
              <w:rPr>
                <w:rFonts w:ascii="Verdana" w:hAnsi="Verdana"/>
                <w:sz w:val="22"/>
                <w:szCs w:val="22"/>
                <w:lang w:val="el-GR"/>
              </w:rPr>
              <w:t xml:space="preserve">, </w:t>
            </w:r>
            <w:r w:rsidRPr="00571F1A">
              <w:rPr>
                <w:rFonts w:ascii="Verdana" w:hAnsi="Verdana" w:hint="eastAsia"/>
                <w:sz w:val="22"/>
                <w:szCs w:val="22"/>
                <w:lang w:val="el-GR"/>
              </w:rPr>
              <w:t>παρόλητηναύξησητουπληθυσμούκαιτηνσυνεχώςαυξανόμενηανάγκηγιαανέγερσηκτιρίωνμεχρήσηκατοικίας</w:t>
            </w:r>
            <w:r w:rsidR="000761E8" w:rsidRPr="00571F1A">
              <w:rPr>
                <w:rFonts w:ascii="Verdana" w:hAnsi="Verdana"/>
                <w:sz w:val="22"/>
                <w:szCs w:val="22"/>
                <w:lang w:val="el-GR"/>
              </w:rPr>
              <w:t xml:space="preserve"> και ούτε βέβαια είναι εφικτή η πολεοδόμηση με τις υφιατάμενες διαδικασίες για τα επόμενα πολλά χρόνια.</w:t>
            </w:r>
            <w:r w:rsidRPr="00571F1A">
              <w:rPr>
                <w:rFonts w:ascii="Verdana" w:hAnsi="Verdana"/>
                <w:sz w:val="22"/>
                <w:szCs w:val="22"/>
                <w:lang w:val="el-GR"/>
              </w:rPr>
              <w:t xml:space="preserve"> Επί πλέον </w:t>
            </w:r>
            <w:r w:rsidR="000761E8" w:rsidRPr="00571F1A">
              <w:rPr>
                <w:rFonts w:ascii="Verdana" w:hAnsi="Verdana"/>
                <w:sz w:val="22"/>
                <w:szCs w:val="22"/>
                <w:lang w:val="el-GR"/>
              </w:rPr>
              <w:t>στις περιοχές αυτές υπάρχουν ήδη υποδομές και ούτως ή άλλως έχει δημιουργηθεί ένα περιαστικό τοπίο. Να παραμείνει επομένως η παρέκκλιση «εντός ζώνης».</w:t>
            </w:r>
          </w:p>
          <w:p w:rsidR="000761E8" w:rsidRPr="00571F1A" w:rsidRDefault="000761E8" w:rsidP="00195D9F">
            <w:pPr>
              <w:jc w:val="both"/>
              <w:rPr>
                <w:rFonts w:ascii="Verdana" w:hAnsi="Verdana"/>
                <w:sz w:val="22"/>
                <w:szCs w:val="22"/>
                <w:u w:val="single"/>
                <w:lang w:val="el-GR"/>
              </w:rPr>
            </w:pPr>
            <w:r w:rsidRPr="00571F1A">
              <w:rPr>
                <w:rFonts w:ascii="Verdana" w:hAnsi="Verdana"/>
                <w:sz w:val="22"/>
                <w:szCs w:val="22"/>
                <w:u w:val="single"/>
                <w:lang w:val="el-GR"/>
              </w:rPr>
              <w:t>Όσον αφορά στο «βάθος» των γηπέδων εκτός σχεδίου, αυτό έχει ήδη καταργηθεί. Δεν βλέπουμε το λόγο που επανέρχεται με το παρόν Σ/Ν.</w:t>
            </w:r>
          </w:p>
          <w:p w:rsidR="001A1E4E" w:rsidRPr="00571F1A" w:rsidRDefault="000761E8" w:rsidP="00195D9F">
            <w:pPr>
              <w:jc w:val="both"/>
              <w:rPr>
                <w:rFonts w:ascii="Verdana" w:hAnsi="Verdana"/>
                <w:sz w:val="22"/>
                <w:szCs w:val="22"/>
                <w:lang w:val="el-GR"/>
              </w:rPr>
            </w:pPr>
            <w:r w:rsidRPr="00571F1A">
              <w:rPr>
                <w:rFonts w:ascii="Verdana" w:hAnsi="Verdana"/>
                <w:sz w:val="22"/>
                <w:szCs w:val="22"/>
                <w:lang w:val="el-GR"/>
              </w:rPr>
              <w:t>Γενικά, οι πρόνοιες του παρόντος Σ/Ν για την εκτός σχεδίου δόμηση είναι ανακό</w:t>
            </w:r>
            <w:r w:rsidR="007F4938" w:rsidRPr="00571F1A">
              <w:rPr>
                <w:rFonts w:ascii="Verdana" w:hAnsi="Verdana"/>
                <w:sz w:val="22"/>
                <w:szCs w:val="22"/>
                <w:lang w:val="el-GR"/>
              </w:rPr>
              <w:t xml:space="preserve">λουθο να έχουν αναδρομική ισχύ και να υπάρχει μόνο ένα μεταβατικό διάστημα 2 ετών όπου οι παρεκκλίσεις αρτιότητας με το πρότερο θεσμικό καθεστώς εξακολουθούν να ισχύουν. Θα παρατηρηθεί η έκδοση σωρείας οικοδομικών αδειών χωρίς λόγο οι οποίες αν κάποτε υλοποιηθούν θα μετατρέψουν όλο το οδικό δίκτυο της χώρας σε ένα οικιστικό σύνολο!  </w:t>
            </w:r>
          </w:p>
          <w:p w:rsidR="001A1E4E" w:rsidRPr="00571F1A" w:rsidRDefault="007F4938" w:rsidP="00195D9F">
            <w:pPr>
              <w:jc w:val="both"/>
              <w:rPr>
                <w:rFonts w:ascii="Verdana" w:hAnsi="Verdana"/>
                <w:sz w:val="22"/>
                <w:szCs w:val="22"/>
                <w:lang w:val="el-GR"/>
              </w:rPr>
            </w:pPr>
            <w:r w:rsidRPr="00571F1A">
              <w:rPr>
                <w:rFonts w:ascii="Verdana" w:hAnsi="Verdana"/>
                <w:sz w:val="22"/>
                <w:szCs w:val="22"/>
                <w:lang w:val="el-GR"/>
              </w:rPr>
              <w:t xml:space="preserve">Ποιο λογικό θα ήταν οι διατάξεις του παρόντος Σ/Ν να έχουν ισχύ για γήπεδα που δημιουργούνται από τη θεσμοθέτησή του και κατά παρέκκλιση να είναι άρτια και οικοδομήσιμα τα γήπεδα που προϋπήρχαν και είχαν τις προϋποθέσεις αρτιότητας και οικοδομησιμότητας με τα προηγούμενο θεσμικό πλαίσιο. </w:t>
            </w:r>
          </w:p>
          <w:p w:rsidR="001A1E4E" w:rsidRPr="00571F1A" w:rsidRDefault="007F4938" w:rsidP="00195D9F">
            <w:pPr>
              <w:jc w:val="both"/>
              <w:rPr>
                <w:rFonts w:ascii="Verdana" w:hAnsi="Verdana"/>
                <w:sz w:val="22"/>
                <w:szCs w:val="22"/>
                <w:lang w:val="el-GR"/>
              </w:rPr>
            </w:pPr>
            <w:r w:rsidRPr="00571F1A">
              <w:rPr>
                <w:rFonts w:ascii="Verdana" w:hAnsi="Verdana"/>
                <w:sz w:val="22"/>
                <w:szCs w:val="22"/>
                <w:lang w:val="el-GR"/>
              </w:rPr>
              <w:t xml:space="preserve">Έτσι θα αποφευχθούν πολλά προβλήματα εφαρμογής. </w:t>
            </w:r>
          </w:p>
          <w:p w:rsidR="001A1E4E" w:rsidRPr="00571F1A" w:rsidRDefault="007F4938" w:rsidP="00195D9F">
            <w:pPr>
              <w:jc w:val="both"/>
              <w:rPr>
                <w:rFonts w:ascii="Verdana" w:hAnsi="Verdana"/>
                <w:b/>
                <w:sz w:val="22"/>
                <w:szCs w:val="22"/>
                <w:lang w:val="el-GR"/>
              </w:rPr>
            </w:pPr>
            <w:r w:rsidRPr="00571F1A">
              <w:rPr>
                <w:rFonts w:ascii="Verdana" w:hAnsi="Verdana"/>
                <w:b/>
                <w:sz w:val="22"/>
                <w:szCs w:val="22"/>
                <w:lang w:val="el-GR"/>
              </w:rPr>
              <w:t>Επομένως προτείνουμε να μπει μια τέτοια μεταβατική διάταξη, ότι μέχρι την ολοκλήρωση του χωρικού σχεδιασμού κατά τις διατάξεις του παρόντος Σ/Ν, γήπεδα εκτός σχεδίου που είχαν τις πρϋποθέσεις αρτιότητας – οικοδομησιμότητας με το προηγούμενο θεσμικό καθεστώς παραμένουν άρτια και οικοδομήσιμα.</w:t>
            </w:r>
          </w:p>
          <w:p w:rsidR="001A1E4E" w:rsidRPr="00571F1A" w:rsidRDefault="00F3622B" w:rsidP="00195D9F">
            <w:pPr>
              <w:jc w:val="both"/>
              <w:rPr>
                <w:rFonts w:ascii="Verdana" w:hAnsi="Verdana"/>
                <w:b/>
                <w:sz w:val="22"/>
                <w:szCs w:val="22"/>
                <w:lang w:val="el-GR"/>
              </w:rPr>
            </w:pPr>
            <w:r w:rsidRPr="00571F1A">
              <w:rPr>
                <w:rFonts w:ascii="Verdana" w:hAnsi="Verdana"/>
                <w:b/>
                <w:sz w:val="22"/>
                <w:szCs w:val="22"/>
                <w:lang w:val="el-GR"/>
              </w:rPr>
              <w:t>Σε περίπτωση που δεν γίνει αποδεκτό, πρέπει να υπάρξει μεταβατική περίοδος τουλάχιστο</w:t>
            </w:r>
            <w:r w:rsidR="001A1E4E" w:rsidRPr="00571F1A">
              <w:rPr>
                <w:rFonts w:ascii="Verdana" w:hAnsi="Verdana"/>
                <w:b/>
                <w:sz w:val="22"/>
                <w:szCs w:val="22"/>
                <w:lang w:val="el-GR"/>
              </w:rPr>
              <w:t>ν</w:t>
            </w:r>
            <w:r w:rsidRPr="00571F1A">
              <w:rPr>
                <w:rFonts w:ascii="Verdana" w:hAnsi="Verdana"/>
                <w:b/>
                <w:sz w:val="22"/>
                <w:szCs w:val="22"/>
                <w:lang w:val="el-GR"/>
              </w:rPr>
              <w:t xml:space="preserve"> 5 ετών για την προσαρμογή στα οριζόμενα στο παρόν Σ/Ν αντί των 2 προβλεπομένων.</w:t>
            </w:r>
          </w:p>
          <w:p w:rsidR="000761E8" w:rsidRPr="00571F1A" w:rsidRDefault="002640F1" w:rsidP="00195D9F">
            <w:pPr>
              <w:jc w:val="both"/>
              <w:rPr>
                <w:rFonts w:ascii="Verdana" w:hAnsi="Verdana"/>
                <w:b/>
                <w:sz w:val="22"/>
                <w:szCs w:val="22"/>
                <w:lang w:val="el-GR"/>
              </w:rPr>
            </w:pPr>
            <w:r w:rsidRPr="00571F1A">
              <w:rPr>
                <w:rFonts w:ascii="Verdana" w:hAnsi="Verdana"/>
                <w:b/>
                <w:sz w:val="22"/>
                <w:szCs w:val="22"/>
                <w:lang w:val="el-GR"/>
              </w:rPr>
              <w:t xml:space="preserve">Επίσης πρέπει να προστεθεί μεταβατική διάταξη που να προσδιορίζει ότι </w:t>
            </w:r>
            <w:r w:rsidR="001A1E4E" w:rsidRPr="00571F1A">
              <w:rPr>
                <w:rFonts w:ascii="Verdana" w:hAnsi="Verdana"/>
                <w:b/>
                <w:sz w:val="22"/>
                <w:szCs w:val="22"/>
                <w:lang w:val="el-GR"/>
              </w:rPr>
              <w:t xml:space="preserve">άδειες που έχουν </w:t>
            </w:r>
            <w:r w:rsidRPr="00571F1A">
              <w:rPr>
                <w:rFonts w:ascii="Verdana" w:hAnsi="Verdana"/>
                <w:b/>
                <w:sz w:val="22"/>
                <w:szCs w:val="22"/>
                <w:lang w:val="el-GR"/>
              </w:rPr>
              <w:t>κ</w:t>
            </w:r>
            <w:r w:rsidR="001A1E4E" w:rsidRPr="00571F1A">
              <w:rPr>
                <w:rFonts w:ascii="Verdana" w:hAnsi="Verdana"/>
                <w:b/>
                <w:sz w:val="22"/>
                <w:szCs w:val="22"/>
                <w:lang w:val="el-GR"/>
              </w:rPr>
              <w:t>α</w:t>
            </w:r>
            <w:r w:rsidRPr="00571F1A">
              <w:rPr>
                <w:rFonts w:ascii="Verdana" w:hAnsi="Verdana"/>
                <w:b/>
                <w:sz w:val="22"/>
                <w:szCs w:val="22"/>
                <w:lang w:val="el-GR"/>
              </w:rPr>
              <w:t>τατεθεί και δεν έχουν εκδοθεί εκδίδονται βάσει των διατάξεων με τις οποίες κατατέθηκαν</w:t>
            </w:r>
          </w:p>
          <w:p w:rsidR="003325B9" w:rsidRPr="00571F1A" w:rsidRDefault="003325B9" w:rsidP="00195D9F">
            <w:pPr>
              <w:jc w:val="both"/>
              <w:rPr>
                <w:rFonts w:ascii="Verdana" w:hAnsi="Verdana"/>
                <w:sz w:val="22"/>
                <w:szCs w:val="22"/>
                <w:lang w:val="el-GR"/>
              </w:rPr>
            </w:pPr>
          </w:p>
          <w:p w:rsidR="00ED2DBD" w:rsidRPr="00571F1A" w:rsidRDefault="00ED2DBD" w:rsidP="00195D9F">
            <w:pPr>
              <w:jc w:val="both"/>
              <w:rPr>
                <w:rFonts w:ascii="Verdana" w:hAnsi="Verdana"/>
                <w:b/>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lastRenderedPageBreak/>
              <w:t>‘Αρθρα που αφορούν στη Θαλάσσια Χωροταξία.</w:t>
            </w:r>
          </w:p>
          <w:p w:rsidR="009956CD"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Ένα νέο μεγάλο κεφάλαιο χωρικού σχεδιασμού </w:t>
            </w:r>
            <w:r w:rsidR="00ED2DBD" w:rsidRPr="00571F1A">
              <w:rPr>
                <w:rFonts w:ascii="Verdana" w:hAnsi="Verdana"/>
                <w:sz w:val="22"/>
                <w:szCs w:val="22"/>
                <w:lang w:val="el-GR"/>
              </w:rPr>
              <w:t xml:space="preserve">και ανάπτυξης </w:t>
            </w:r>
            <w:r w:rsidRPr="00571F1A">
              <w:rPr>
                <w:rFonts w:ascii="Verdana" w:hAnsi="Verdana"/>
                <w:sz w:val="22"/>
                <w:szCs w:val="22"/>
                <w:lang w:val="el-GR"/>
              </w:rPr>
              <w:t xml:space="preserve">ανοίγεται μέσω της θαλάσσιας χωροταξίας. </w:t>
            </w:r>
            <w:r w:rsidRPr="00571F1A">
              <w:rPr>
                <w:rFonts w:ascii="Verdana" w:hAnsi="Verdana"/>
                <w:sz w:val="22"/>
                <w:szCs w:val="22"/>
                <w:u w:val="single"/>
                <w:lang w:val="el-GR"/>
              </w:rPr>
              <w:t>Διαπιστώνουμε ότι παρότι το επίπεδο αναφοράς του σχεδιασμού αυτού είναι κατά κύριο λόγο Περιφερειακό, οι αντίστοιχες νησιωτικές Περιφέρειες της χώρας συμμετέχουν κατ’ ελάχιστο έως καθόλου στη διαμόρφωσή του.</w:t>
            </w:r>
          </w:p>
          <w:p w:rsidR="00195D9F" w:rsidRPr="00571F1A" w:rsidRDefault="00195D9F" w:rsidP="00195D9F">
            <w:pPr>
              <w:jc w:val="both"/>
              <w:rPr>
                <w:rFonts w:ascii="Verdana" w:hAnsi="Verdana"/>
                <w:b/>
                <w:sz w:val="22"/>
                <w:szCs w:val="22"/>
                <w:lang w:val="el-GR"/>
              </w:rPr>
            </w:pPr>
            <w:r w:rsidRPr="00571F1A">
              <w:rPr>
                <w:rFonts w:ascii="Verdana" w:hAnsi="Verdana"/>
                <w:b/>
                <w:sz w:val="22"/>
                <w:szCs w:val="22"/>
                <w:lang w:val="el-GR"/>
              </w:rPr>
              <w:t>Προτείνουμε στο κεφάλαιο αυτό να γίνει ειδική μνεία στις νησιωτικές Περιφέρειες της χώρας οι οποίες πρέπει να συμμετέχουν τόσο σε επίπεδο κίνησης διαδικασίας του σχεδιασμού περιφερειακού επιπέδου όσο και σε κάθε επιτροπή παρακολούθησης των αντίστοιχων μελετών.</w:t>
            </w:r>
          </w:p>
          <w:p w:rsidR="00ED2DBD" w:rsidRPr="00571F1A" w:rsidRDefault="00ED2DBD" w:rsidP="00195D9F">
            <w:pPr>
              <w:jc w:val="both"/>
              <w:rPr>
                <w:rFonts w:ascii="Verdana" w:hAnsi="Verdana"/>
                <w:b/>
                <w:sz w:val="22"/>
                <w:szCs w:val="22"/>
                <w:lang w:val="el-GR"/>
              </w:rPr>
            </w:pPr>
          </w:p>
          <w:p w:rsidR="00195D9F" w:rsidRPr="00571F1A" w:rsidRDefault="00195D9F" w:rsidP="00195D9F">
            <w:pPr>
              <w:jc w:val="both"/>
              <w:rPr>
                <w:rFonts w:ascii="Verdana" w:hAnsi="Verdana"/>
                <w:sz w:val="22"/>
                <w:szCs w:val="22"/>
                <w:u w:val="single"/>
                <w:lang w:val="el-GR"/>
              </w:rPr>
            </w:pPr>
            <w:r w:rsidRPr="00571F1A">
              <w:rPr>
                <w:rFonts w:ascii="Verdana" w:hAnsi="Verdana"/>
                <w:b/>
                <w:sz w:val="22"/>
                <w:szCs w:val="22"/>
                <w:u w:val="single"/>
                <w:lang w:val="el-GR"/>
              </w:rPr>
              <w:t>Αρθ. 98 Κεντρική Επιτροπή Προσβασιμότητας</w:t>
            </w:r>
            <w:r w:rsidRPr="00571F1A">
              <w:rPr>
                <w:rFonts w:ascii="Verdana" w:hAnsi="Verdana"/>
                <w:sz w:val="22"/>
                <w:szCs w:val="22"/>
                <w:u w:val="single"/>
                <w:lang w:val="el-GR"/>
              </w:rPr>
              <w:t>.</w:t>
            </w:r>
          </w:p>
          <w:p w:rsidR="00195D9F" w:rsidRPr="00571F1A" w:rsidRDefault="00195D9F" w:rsidP="00195D9F">
            <w:pPr>
              <w:jc w:val="both"/>
              <w:rPr>
                <w:rFonts w:ascii="Verdana" w:hAnsi="Verdana"/>
                <w:sz w:val="22"/>
                <w:szCs w:val="22"/>
                <w:lang w:val="el-GR"/>
              </w:rPr>
            </w:pPr>
            <w:r w:rsidRPr="00571F1A">
              <w:rPr>
                <w:rFonts w:ascii="Verdana" w:hAnsi="Verdana"/>
                <w:sz w:val="22"/>
                <w:szCs w:val="22"/>
                <w:lang w:val="el-GR"/>
              </w:rPr>
              <w:t xml:space="preserve">Παρατηρούμε ότι στην επιτροπή αυτή συμμετέχουν οι πάντες πλην ΕΝΠΕ. </w:t>
            </w:r>
            <w:r w:rsidRPr="00571F1A">
              <w:rPr>
                <w:rFonts w:ascii="Verdana" w:hAnsi="Verdana"/>
                <w:b/>
                <w:sz w:val="22"/>
                <w:szCs w:val="22"/>
                <w:lang w:val="el-GR"/>
              </w:rPr>
              <w:t>Προτείνουμε να προβλεφθεί εκπρόσωπος ΕΝΠΕ στη σύνθεσή της.</w:t>
            </w:r>
          </w:p>
          <w:p w:rsidR="00195D9F" w:rsidRPr="00571F1A" w:rsidRDefault="00195D9F" w:rsidP="00195D9F">
            <w:pPr>
              <w:jc w:val="both"/>
              <w:rPr>
                <w:rFonts w:ascii="Verdana" w:hAnsi="Verdana"/>
                <w:sz w:val="22"/>
                <w:szCs w:val="22"/>
                <w:lang w:val="el-GR"/>
              </w:rPr>
            </w:pPr>
          </w:p>
          <w:p w:rsidR="00195D9F" w:rsidRPr="00571F1A" w:rsidRDefault="00ED2DBD" w:rsidP="00195D9F">
            <w:pPr>
              <w:jc w:val="both"/>
              <w:rPr>
                <w:rFonts w:ascii="Verdana" w:hAnsi="Verdana"/>
                <w:b/>
                <w:sz w:val="22"/>
                <w:szCs w:val="22"/>
                <w:lang w:val="el-GR"/>
              </w:rPr>
            </w:pPr>
            <w:r w:rsidRPr="00571F1A">
              <w:rPr>
                <w:rFonts w:ascii="Verdana" w:hAnsi="Verdana"/>
                <w:b/>
                <w:sz w:val="22"/>
                <w:szCs w:val="22"/>
                <w:lang w:val="el-GR"/>
              </w:rPr>
              <w:t>3. ΣΥΝΟΨΙΖΟΝΤΑΣ</w:t>
            </w:r>
            <w:r w:rsidR="00195D9F" w:rsidRPr="00571F1A">
              <w:rPr>
                <w:rFonts w:ascii="Verdana" w:hAnsi="Verdana"/>
                <w:b/>
                <w:sz w:val="22"/>
                <w:szCs w:val="22"/>
                <w:lang w:val="el-GR"/>
              </w:rPr>
              <w:t>, ΠΡΟΤΕΙΝΟΥΜΕ:</w:t>
            </w:r>
          </w:p>
          <w:p w:rsidR="00900E6B" w:rsidRPr="00571F1A" w:rsidRDefault="00900E6B" w:rsidP="00195D9F">
            <w:pPr>
              <w:jc w:val="both"/>
              <w:rPr>
                <w:rFonts w:ascii="Verdana" w:hAnsi="Verdana"/>
                <w:b/>
                <w:sz w:val="22"/>
                <w:szCs w:val="22"/>
                <w:lang w:val="el-GR"/>
              </w:rPr>
            </w:pPr>
          </w:p>
          <w:p w:rsidR="00ED2DBD" w:rsidRPr="00571F1A" w:rsidRDefault="00900E6B" w:rsidP="00900E6B">
            <w:pPr>
              <w:pStyle w:val="a6"/>
              <w:numPr>
                <w:ilvl w:val="0"/>
                <w:numId w:val="24"/>
              </w:numPr>
              <w:jc w:val="both"/>
              <w:rPr>
                <w:rFonts w:ascii="Verdana" w:hAnsi="Verdana"/>
                <w:b/>
                <w:sz w:val="22"/>
                <w:szCs w:val="22"/>
                <w:lang w:val="el-GR"/>
              </w:rPr>
            </w:pPr>
            <w:r w:rsidRPr="00571F1A">
              <w:rPr>
                <w:rFonts w:ascii="Verdana" w:hAnsi="Verdana"/>
                <w:b/>
                <w:sz w:val="22"/>
                <w:szCs w:val="22"/>
                <w:lang w:val="el-GR"/>
              </w:rPr>
              <w:t>Να παραταθεί ο χρόνος διαβούλευσης για τουλάχιστο ένα μήνα.</w:t>
            </w:r>
          </w:p>
          <w:p w:rsidR="00900E6B" w:rsidRPr="00571F1A" w:rsidRDefault="00900E6B" w:rsidP="00900E6B">
            <w:pPr>
              <w:pStyle w:val="a6"/>
              <w:ind w:left="360"/>
              <w:jc w:val="both"/>
              <w:rPr>
                <w:rFonts w:ascii="Verdana" w:hAnsi="Verdana"/>
                <w:b/>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 4</w:t>
            </w:r>
            <w:r w:rsidRPr="00571F1A">
              <w:rPr>
                <w:rFonts w:ascii="Verdana" w:hAnsi="Verdana"/>
                <w:b/>
                <w:sz w:val="22"/>
                <w:szCs w:val="22"/>
                <w:u w:val="single"/>
                <w:vertAlign w:val="superscript"/>
                <w:lang w:val="el-GR"/>
              </w:rPr>
              <w:t>Α</w:t>
            </w:r>
          </w:p>
          <w:p w:rsidR="00195D9F" w:rsidRPr="00571F1A" w:rsidRDefault="00195D9F" w:rsidP="00B84A38">
            <w:pPr>
              <w:pStyle w:val="a6"/>
              <w:numPr>
                <w:ilvl w:val="0"/>
                <w:numId w:val="19"/>
              </w:numPr>
              <w:jc w:val="both"/>
              <w:rPr>
                <w:rFonts w:ascii="Verdana" w:hAnsi="Verdana"/>
                <w:sz w:val="22"/>
                <w:szCs w:val="22"/>
                <w:lang w:val="el-GR"/>
              </w:rPr>
            </w:pPr>
            <w:r w:rsidRPr="00571F1A">
              <w:rPr>
                <w:rFonts w:ascii="Verdana" w:hAnsi="Verdana"/>
                <w:b/>
                <w:sz w:val="22"/>
                <w:szCs w:val="22"/>
                <w:lang w:val="el-GR"/>
              </w:rPr>
              <w:t xml:space="preserve">Στο </w:t>
            </w:r>
            <w:r w:rsidR="00DB0703" w:rsidRPr="00571F1A">
              <w:rPr>
                <w:rFonts w:ascii="Verdana" w:hAnsi="Verdana"/>
                <w:b/>
                <w:sz w:val="22"/>
                <w:szCs w:val="22"/>
                <w:lang w:val="el-GR"/>
              </w:rPr>
              <w:t>Κεντρικό Συμβούλιο Χωροταξικών Θ</w:t>
            </w:r>
            <w:r w:rsidRPr="00571F1A">
              <w:rPr>
                <w:rFonts w:ascii="Verdana" w:hAnsi="Verdana"/>
                <w:b/>
                <w:sz w:val="22"/>
                <w:szCs w:val="22"/>
                <w:lang w:val="el-GR"/>
              </w:rPr>
              <w:t>εμάτων και Αμφισβητήσεων</w:t>
            </w:r>
            <w:r w:rsidRPr="00571F1A">
              <w:rPr>
                <w:rFonts w:ascii="Verdana" w:hAnsi="Verdana"/>
                <w:sz w:val="22"/>
                <w:szCs w:val="22"/>
                <w:lang w:val="el-GR"/>
              </w:rPr>
              <w:t xml:space="preserve"> πέραν της προβλεπόμενης συμμετοχής εκπροσώπου της αντίστοιχης Περιφέρειας σε περίπτωση που συζητείται θέμα Περιφερειακού Χωροταξικού Πλαισίου, </w:t>
            </w:r>
            <w:r w:rsidRPr="00571F1A">
              <w:rPr>
                <w:rFonts w:ascii="Verdana" w:hAnsi="Verdana"/>
                <w:b/>
                <w:sz w:val="22"/>
                <w:szCs w:val="22"/>
                <w:lang w:val="el-GR"/>
              </w:rPr>
              <w:t>να συμπεριληφθεί στην μόνιμη σύνθεση και ένας εκπρόσωπος ΕΝΠΕ.</w:t>
            </w:r>
          </w:p>
          <w:p w:rsidR="00DB0703" w:rsidRPr="00571F1A" w:rsidRDefault="00DB0703" w:rsidP="00DB0703">
            <w:pPr>
              <w:pStyle w:val="a6"/>
              <w:ind w:left="360"/>
              <w:jc w:val="both"/>
              <w:rPr>
                <w:rFonts w:ascii="Verdana" w:hAnsi="Verdana"/>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 10</w:t>
            </w:r>
            <w:r w:rsidR="00C95411" w:rsidRPr="00571F1A">
              <w:rPr>
                <w:rFonts w:ascii="Verdana" w:hAnsi="Verdana"/>
                <w:b/>
                <w:sz w:val="22"/>
                <w:szCs w:val="22"/>
                <w:u w:val="single"/>
                <w:lang w:val="el-GR"/>
              </w:rPr>
              <w:t>.</w:t>
            </w:r>
            <w:r w:rsidRPr="00571F1A">
              <w:rPr>
                <w:rFonts w:ascii="Verdana" w:hAnsi="Verdana"/>
                <w:b/>
                <w:sz w:val="22"/>
                <w:szCs w:val="22"/>
                <w:u w:val="single"/>
                <w:lang w:val="el-GR"/>
              </w:rPr>
              <w:t xml:space="preserve"> Τοπικά Πολεοδομικά Σχέδια</w:t>
            </w:r>
          </w:p>
          <w:p w:rsidR="00195D9F" w:rsidRPr="00571F1A" w:rsidRDefault="00195D9F" w:rsidP="00B84A38">
            <w:pPr>
              <w:pStyle w:val="a6"/>
              <w:numPr>
                <w:ilvl w:val="0"/>
                <w:numId w:val="19"/>
              </w:numPr>
              <w:jc w:val="both"/>
              <w:rPr>
                <w:rFonts w:ascii="Verdana" w:hAnsi="Verdana"/>
                <w:b/>
                <w:sz w:val="22"/>
                <w:szCs w:val="22"/>
                <w:lang w:val="el-GR"/>
              </w:rPr>
            </w:pPr>
            <w:r w:rsidRPr="00571F1A">
              <w:rPr>
                <w:rFonts w:ascii="Verdana" w:hAnsi="Verdana"/>
                <w:b/>
                <w:sz w:val="22"/>
                <w:szCs w:val="22"/>
                <w:lang w:val="el-GR"/>
              </w:rPr>
              <w:t xml:space="preserve">Να προβλεφθεί μεταβατική διάταξη </w:t>
            </w:r>
            <w:r w:rsidR="00ED2DBD" w:rsidRPr="00571F1A">
              <w:rPr>
                <w:rFonts w:ascii="Verdana" w:hAnsi="Verdana"/>
                <w:b/>
                <w:sz w:val="22"/>
                <w:szCs w:val="22"/>
                <w:lang w:val="el-GR"/>
              </w:rPr>
              <w:t>στην οποία να αναφέρεται</w:t>
            </w:r>
            <w:r w:rsidRPr="00571F1A">
              <w:rPr>
                <w:rFonts w:ascii="Verdana" w:hAnsi="Verdana"/>
                <w:b/>
                <w:sz w:val="22"/>
                <w:szCs w:val="22"/>
                <w:lang w:val="el-GR"/>
              </w:rPr>
              <w:t xml:space="preserve"> ότι μελέτες ΓΠΣ και ΣΧΟΟΑΠ που έχουν ήδη ανατεθεί και εκπονούνται με τις διατ</w:t>
            </w:r>
            <w:r w:rsidR="009956CD" w:rsidRPr="00571F1A">
              <w:rPr>
                <w:rFonts w:ascii="Verdana" w:hAnsi="Verdana"/>
                <w:b/>
                <w:sz w:val="22"/>
                <w:szCs w:val="22"/>
                <w:lang w:val="el-GR"/>
              </w:rPr>
              <w:t>άξεις και τις διαδικασίες του Ν.</w:t>
            </w:r>
            <w:r w:rsidRPr="00571F1A">
              <w:rPr>
                <w:rFonts w:ascii="Verdana" w:hAnsi="Verdana"/>
                <w:b/>
                <w:sz w:val="22"/>
                <w:szCs w:val="22"/>
                <w:lang w:val="el-GR"/>
              </w:rPr>
              <w:t>2508/97, ολοκληρώνονται και θεσμοθετούνται σύμφωνα με τις διατάξεις με τις οποίες ανατέθηκαν.</w:t>
            </w:r>
          </w:p>
          <w:p w:rsidR="00195D9F" w:rsidRPr="00571F1A" w:rsidRDefault="00195D9F" w:rsidP="00B84A38">
            <w:pPr>
              <w:pStyle w:val="a6"/>
              <w:numPr>
                <w:ilvl w:val="0"/>
                <w:numId w:val="19"/>
              </w:numPr>
              <w:jc w:val="both"/>
              <w:rPr>
                <w:rFonts w:ascii="Verdana" w:hAnsi="Verdana"/>
                <w:sz w:val="22"/>
                <w:szCs w:val="22"/>
                <w:lang w:val="el-GR"/>
              </w:rPr>
            </w:pPr>
            <w:r w:rsidRPr="00571F1A">
              <w:rPr>
                <w:rFonts w:ascii="Verdana" w:hAnsi="Verdana"/>
                <w:b/>
                <w:sz w:val="22"/>
                <w:szCs w:val="22"/>
                <w:lang w:val="el-GR"/>
              </w:rPr>
              <w:t>Να παρασχεθεί και στις Περιφέρειες η δυνατότητα κίνησης διαδικασίας εκπόνησης Τοπικού Χωρικού Σχεδίου</w:t>
            </w:r>
            <w:r w:rsidRPr="00571F1A">
              <w:rPr>
                <w:rFonts w:ascii="Verdana" w:hAnsi="Verdana"/>
                <w:sz w:val="22"/>
                <w:szCs w:val="22"/>
                <w:lang w:val="el-GR"/>
              </w:rPr>
              <w:t>. Επομένως πρέπει να συμπληρωθεί κατ’ αυτή την έννοια η παρ. 6</w:t>
            </w:r>
            <w:r w:rsidRPr="00571F1A">
              <w:rPr>
                <w:rFonts w:ascii="Verdana" w:hAnsi="Verdana"/>
                <w:sz w:val="22"/>
                <w:szCs w:val="22"/>
                <w:vertAlign w:val="superscript"/>
                <w:lang w:val="el-GR"/>
              </w:rPr>
              <w:t>α</w:t>
            </w:r>
            <w:r w:rsidRPr="00571F1A">
              <w:rPr>
                <w:rFonts w:ascii="Verdana" w:hAnsi="Verdana"/>
                <w:sz w:val="22"/>
                <w:szCs w:val="22"/>
                <w:lang w:val="el-GR"/>
              </w:rPr>
              <w:t xml:space="preserve"> του αρθ. 10. </w:t>
            </w:r>
          </w:p>
          <w:p w:rsidR="00195D9F" w:rsidRPr="00571F1A" w:rsidRDefault="00195D9F" w:rsidP="00B84A38">
            <w:pPr>
              <w:pStyle w:val="a6"/>
              <w:numPr>
                <w:ilvl w:val="0"/>
                <w:numId w:val="19"/>
              </w:numPr>
              <w:jc w:val="both"/>
              <w:rPr>
                <w:rFonts w:ascii="Verdana" w:hAnsi="Verdana"/>
                <w:sz w:val="22"/>
                <w:szCs w:val="22"/>
                <w:lang w:val="el-GR"/>
              </w:rPr>
            </w:pPr>
            <w:r w:rsidRPr="00571F1A">
              <w:rPr>
                <w:rFonts w:ascii="Verdana" w:hAnsi="Verdana"/>
                <w:b/>
                <w:sz w:val="22"/>
                <w:szCs w:val="22"/>
                <w:lang w:val="el-GR"/>
              </w:rPr>
              <w:t>Να προβλεφθεί ρύθμιση δημιουργίας ηλεκτρονικής πλατφόρμας σε κάθε Περιφέρεια για το «</w:t>
            </w:r>
            <w:r w:rsidRPr="00571F1A">
              <w:rPr>
                <w:rFonts w:ascii="Verdana" w:hAnsi="Verdana"/>
                <w:b/>
                <w:sz w:val="22"/>
                <w:szCs w:val="22"/>
                <w:lang w:val="en-US"/>
              </w:rPr>
              <w:t>monitoring</w:t>
            </w:r>
            <w:r w:rsidRPr="00571F1A">
              <w:rPr>
                <w:rFonts w:ascii="Verdana" w:hAnsi="Verdana"/>
                <w:b/>
                <w:sz w:val="22"/>
                <w:szCs w:val="22"/>
                <w:lang w:val="el-GR"/>
              </w:rPr>
              <w:t>»</w:t>
            </w:r>
            <w:r w:rsidRPr="00571F1A">
              <w:rPr>
                <w:rFonts w:ascii="Verdana" w:hAnsi="Verdana"/>
                <w:sz w:val="22"/>
                <w:szCs w:val="22"/>
                <w:lang w:val="el-GR"/>
              </w:rPr>
              <w:t xml:space="preserve"> (παρακολούθηση) των μελετών αυτών.</w:t>
            </w:r>
          </w:p>
          <w:p w:rsidR="00DB0703" w:rsidRPr="00571F1A" w:rsidRDefault="00DB0703" w:rsidP="00DB0703">
            <w:pPr>
              <w:pStyle w:val="a6"/>
              <w:ind w:left="360"/>
              <w:jc w:val="both"/>
              <w:rPr>
                <w:rFonts w:ascii="Verdana" w:hAnsi="Verdana"/>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 11</w:t>
            </w:r>
            <w:r w:rsidR="00ED2DBD" w:rsidRPr="00571F1A">
              <w:rPr>
                <w:rFonts w:ascii="Verdana" w:hAnsi="Verdana"/>
                <w:b/>
                <w:sz w:val="22"/>
                <w:szCs w:val="22"/>
                <w:u w:val="single"/>
                <w:lang w:val="el-GR"/>
              </w:rPr>
              <w:t>.</w:t>
            </w:r>
            <w:r w:rsidRPr="00571F1A">
              <w:rPr>
                <w:rFonts w:ascii="Verdana" w:hAnsi="Verdana"/>
                <w:b/>
                <w:sz w:val="22"/>
                <w:szCs w:val="22"/>
                <w:u w:val="single"/>
                <w:lang w:val="el-GR"/>
              </w:rPr>
              <w:t xml:space="preserve"> Ειδικά Πολεοδομικά Σχέδια</w:t>
            </w:r>
          </w:p>
          <w:p w:rsidR="00195D9F" w:rsidRPr="00571F1A" w:rsidRDefault="00195D9F" w:rsidP="00B84A38">
            <w:pPr>
              <w:pStyle w:val="a6"/>
              <w:numPr>
                <w:ilvl w:val="0"/>
                <w:numId w:val="19"/>
              </w:numPr>
              <w:jc w:val="both"/>
              <w:rPr>
                <w:rFonts w:ascii="Verdana" w:hAnsi="Verdana"/>
                <w:b/>
                <w:sz w:val="22"/>
                <w:szCs w:val="22"/>
                <w:lang w:val="el-GR"/>
              </w:rPr>
            </w:pPr>
            <w:r w:rsidRPr="00571F1A">
              <w:rPr>
                <w:rFonts w:ascii="Verdana" w:hAnsi="Verdana"/>
                <w:b/>
                <w:sz w:val="22"/>
                <w:szCs w:val="22"/>
                <w:lang w:val="el-GR"/>
              </w:rPr>
              <w:t>Να αναφερθεί ρητά οι ζώνες ΠΕΡΠΟ αποτελούν αντικείμενο και των Ειδικών Πολεοδομικών Πλαισίων</w:t>
            </w:r>
            <w:r w:rsidR="006F6DBC" w:rsidRPr="00571F1A">
              <w:rPr>
                <w:rFonts w:ascii="Verdana" w:hAnsi="Verdana"/>
                <w:b/>
                <w:sz w:val="22"/>
                <w:szCs w:val="22"/>
                <w:lang w:val="el-GR"/>
              </w:rPr>
              <w:t>.</w:t>
            </w:r>
          </w:p>
          <w:p w:rsidR="00195D9F" w:rsidRPr="00571F1A" w:rsidRDefault="00195D9F" w:rsidP="00B84A38">
            <w:pPr>
              <w:pStyle w:val="a6"/>
              <w:numPr>
                <w:ilvl w:val="0"/>
                <w:numId w:val="19"/>
              </w:numPr>
              <w:jc w:val="both"/>
              <w:rPr>
                <w:rFonts w:ascii="Verdana" w:hAnsi="Verdana"/>
                <w:sz w:val="22"/>
                <w:szCs w:val="22"/>
                <w:lang w:val="el-GR"/>
              </w:rPr>
            </w:pPr>
            <w:r w:rsidRPr="00571F1A">
              <w:rPr>
                <w:rFonts w:ascii="Verdana" w:hAnsi="Verdana"/>
                <w:b/>
                <w:sz w:val="22"/>
                <w:szCs w:val="22"/>
                <w:lang w:val="el-GR"/>
              </w:rPr>
              <w:t>Να γίνει ειδική αναφορά  στα «τοπικά ρυμοτομικά σχέδια» ότι ο σχεδιασμός αυτός διέπεται από ίδιο θεσμικό πλαίσιο τη διαδικασία του οποίο</w:t>
            </w:r>
            <w:r w:rsidR="009956CD" w:rsidRPr="00571F1A">
              <w:rPr>
                <w:rFonts w:ascii="Verdana" w:hAnsi="Verdana"/>
                <w:b/>
                <w:sz w:val="22"/>
                <w:szCs w:val="22"/>
                <w:lang w:val="el-GR"/>
              </w:rPr>
              <w:t>υ μπορούν να κινούν οι φορείς Α’βάθμιας και Β’</w:t>
            </w:r>
            <w:r w:rsidRPr="00571F1A">
              <w:rPr>
                <w:rFonts w:ascii="Verdana" w:hAnsi="Verdana"/>
                <w:b/>
                <w:sz w:val="22"/>
                <w:szCs w:val="22"/>
                <w:lang w:val="el-GR"/>
              </w:rPr>
              <w:t>βάθμιας Αυτοδιοίκησης και η θεσμοθέτησή τους γίνεται με Απόφαση Περιφερειάρχη κατόπιν</w:t>
            </w:r>
            <w:r w:rsidR="009956CD" w:rsidRPr="00571F1A">
              <w:rPr>
                <w:rFonts w:ascii="Verdana" w:hAnsi="Verdana"/>
                <w:b/>
                <w:sz w:val="22"/>
                <w:szCs w:val="22"/>
                <w:lang w:val="el-GR"/>
              </w:rPr>
              <w:t xml:space="preserve"> γνώμης του οικείου ΣΥΠΟΘΑ</w:t>
            </w:r>
            <w:r w:rsidRPr="00571F1A">
              <w:rPr>
                <w:rFonts w:ascii="Verdana" w:hAnsi="Verdana"/>
                <w:b/>
                <w:sz w:val="22"/>
                <w:szCs w:val="22"/>
                <w:lang w:val="el-GR"/>
              </w:rPr>
              <w:t xml:space="preserve">. </w:t>
            </w:r>
            <w:r w:rsidRPr="00571F1A">
              <w:rPr>
                <w:rFonts w:ascii="Verdana" w:hAnsi="Verdana"/>
                <w:sz w:val="22"/>
                <w:szCs w:val="22"/>
                <w:lang w:val="el-GR"/>
              </w:rPr>
              <w:t xml:space="preserve">Να εξαιρεθεί δηλαδή ο σχεδιασμός αυτός από τις ρυθμίσεις του παρόντος άρθρου και </w:t>
            </w:r>
            <w:r w:rsidR="00C95411" w:rsidRPr="00571F1A">
              <w:rPr>
                <w:rFonts w:ascii="Verdana" w:hAnsi="Verdana"/>
                <w:sz w:val="22"/>
                <w:szCs w:val="22"/>
                <w:lang w:val="el-GR"/>
              </w:rPr>
              <w:t>να</w:t>
            </w:r>
            <w:r w:rsidRPr="00571F1A">
              <w:rPr>
                <w:rFonts w:ascii="Verdana" w:hAnsi="Verdana"/>
                <w:sz w:val="22"/>
                <w:szCs w:val="22"/>
                <w:lang w:val="el-GR"/>
              </w:rPr>
              <w:t xml:space="preserve"> αποτελέσει κατ΄εξαίρεση ειδική διαδικασία.</w:t>
            </w:r>
          </w:p>
          <w:p w:rsidR="00ED2DBD" w:rsidRPr="00571F1A" w:rsidRDefault="00ED2DBD" w:rsidP="00195D9F">
            <w:pPr>
              <w:jc w:val="both"/>
              <w:rPr>
                <w:rFonts w:ascii="Verdana" w:hAnsi="Verdana"/>
                <w:sz w:val="22"/>
                <w:szCs w:val="22"/>
                <w:lang w:val="el-GR"/>
              </w:rPr>
            </w:pPr>
          </w:p>
          <w:p w:rsidR="009956CD" w:rsidRPr="00571F1A" w:rsidRDefault="009956CD" w:rsidP="00195D9F">
            <w:pPr>
              <w:jc w:val="both"/>
              <w:rPr>
                <w:rFonts w:ascii="Verdana" w:hAnsi="Verdana"/>
                <w:sz w:val="22"/>
                <w:szCs w:val="22"/>
                <w:lang w:val="el-GR"/>
              </w:rPr>
            </w:pPr>
          </w:p>
          <w:p w:rsidR="009956CD" w:rsidRPr="00571F1A" w:rsidRDefault="009956CD" w:rsidP="00195D9F">
            <w:pPr>
              <w:jc w:val="both"/>
              <w:rPr>
                <w:rFonts w:ascii="Verdana" w:hAnsi="Verdana"/>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Οριοθέτηση υδατορεμάτων.</w:t>
            </w:r>
          </w:p>
          <w:p w:rsidR="00195D9F" w:rsidRPr="00571F1A" w:rsidRDefault="00195D9F" w:rsidP="00B84A38">
            <w:pPr>
              <w:pStyle w:val="a6"/>
              <w:numPr>
                <w:ilvl w:val="0"/>
                <w:numId w:val="19"/>
              </w:numPr>
              <w:jc w:val="both"/>
              <w:rPr>
                <w:rFonts w:ascii="Verdana" w:hAnsi="Verdana"/>
                <w:sz w:val="22"/>
                <w:szCs w:val="22"/>
                <w:lang w:val="el-GR"/>
              </w:rPr>
            </w:pPr>
            <w:r w:rsidRPr="00571F1A">
              <w:rPr>
                <w:rFonts w:ascii="Verdana" w:hAnsi="Verdana"/>
                <w:b/>
                <w:sz w:val="22"/>
                <w:szCs w:val="22"/>
                <w:lang w:val="el-GR"/>
              </w:rPr>
              <w:t xml:space="preserve">Να προστεθεί ειδική διάταξη που να αναφέρει ότι οριοθέτηση μεμονωμένων  ή συνόλου υδατορεμάτων γίνεται με απόφαση Περιφερειάρχη κατόπιν σύνταξης ειδικών μελετών και μετά από την τήρηση της προβλεπόμενης διαδικασίας που διέπει το ίδιο νομικό καθεστώς τους, </w:t>
            </w:r>
            <w:r w:rsidRPr="00571F1A">
              <w:rPr>
                <w:rFonts w:ascii="Verdana" w:hAnsi="Verdana"/>
                <w:sz w:val="22"/>
                <w:szCs w:val="22"/>
                <w:lang w:val="el-GR"/>
              </w:rPr>
              <w:t xml:space="preserve">πλην ασφαλώς των περιπτώσεων που εντάσσονται σε μελέτες </w:t>
            </w:r>
            <w:r w:rsidRPr="00571F1A">
              <w:rPr>
                <w:rFonts w:ascii="Verdana" w:hAnsi="Verdana"/>
                <w:sz w:val="22"/>
                <w:szCs w:val="22"/>
                <w:lang w:val="el-GR"/>
              </w:rPr>
              <w:lastRenderedPageBreak/>
              <w:t>χωρικού σχεδιασμού</w:t>
            </w:r>
            <w:r w:rsidR="00ED2DBD" w:rsidRPr="00571F1A">
              <w:rPr>
                <w:rFonts w:ascii="Verdana" w:hAnsi="Verdana"/>
                <w:sz w:val="22"/>
                <w:szCs w:val="22"/>
                <w:lang w:val="el-GR"/>
              </w:rPr>
              <w:t>.</w:t>
            </w:r>
          </w:p>
          <w:p w:rsidR="00ED2DBD" w:rsidRPr="00571F1A" w:rsidRDefault="00ED2DBD" w:rsidP="00195D9F">
            <w:pPr>
              <w:jc w:val="both"/>
              <w:rPr>
                <w:rFonts w:ascii="Verdana" w:hAnsi="Verdana"/>
                <w:b/>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 xml:space="preserve">Αρθ. 14 Σχεδιασμός και χαρακτηρισμός Δημοτικών Οδών. </w:t>
            </w:r>
          </w:p>
          <w:p w:rsidR="00195D9F" w:rsidRPr="00571F1A" w:rsidRDefault="00195D9F" w:rsidP="00B84A38">
            <w:pPr>
              <w:pStyle w:val="a6"/>
              <w:numPr>
                <w:ilvl w:val="0"/>
                <w:numId w:val="19"/>
              </w:numPr>
              <w:jc w:val="both"/>
              <w:rPr>
                <w:rFonts w:ascii="Verdana" w:hAnsi="Verdana"/>
                <w:b/>
                <w:sz w:val="22"/>
                <w:szCs w:val="22"/>
                <w:lang w:val="el-GR"/>
              </w:rPr>
            </w:pPr>
            <w:r w:rsidRPr="00571F1A">
              <w:rPr>
                <w:rFonts w:ascii="Verdana" w:hAnsi="Verdana"/>
                <w:b/>
                <w:sz w:val="22"/>
                <w:szCs w:val="22"/>
                <w:lang w:val="el-GR"/>
              </w:rPr>
              <w:t>Ο χαρακτηρισμός των δημοτικών οδών κατά το άρθρο αυτό να γίνεται με Απόφαση Περιφερειάρχη,</w:t>
            </w:r>
          </w:p>
          <w:p w:rsidR="00195D9F" w:rsidRPr="00571F1A" w:rsidRDefault="00195D9F" w:rsidP="00B84A38">
            <w:pPr>
              <w:pStyle w:val="a6"/>
              <w:numPr>
                <w:ilvl w:val="0"/>
                <w:numId w:val="19"/>
              </w:numPr>
              <w:jc w:val="both"/>
              <w:rPr>
                <w:rFonts w:ascii="Verdana" w:hAnsi="Verdana"/>
                <w:sz w:val="22"/>
                <w:szCs w:val="22"/>
                <w:lang w:val="el-GR"/>
              </w:rPr>
            </w:pPr>
            <w:r w:rsidRPr="00571F1A">
              <w:rPr>
                <w:rFonts w:ascii="Verdana" w:hAnsi="Verdana"/>
                <w:sz w:val="22"/>
                <w:szCs w:val="22"/>
                <w:lang w:val="el-GR"/>
              </w:rPr>
              <w:t xml:space="preserve">Να προστεθεί εδάφιο στο παρόν άρθρο ή στο αρθ 28 περί γενικών διατάξεων της εκτός σχεδίου δόμησης που να προβλέπει ότι  </w:t>
            </w:r>
            <w:r w:rsidRPr="00571F1A">
              <w:rPr>
                <w:rFonts w:ascii="Verdana" w:hAnsi="Verdana"/>
                <w:b/>
                <w:sz w:val="22"/>
                <w:szCs w:val="22"/>
                <w:lang w:val="el-GR"/>
              </w:rPr>
              <w:t xml:space="preserve">μέχρι την κατηγοριοποίηση </w:t>
            </w:r>
            <w:r w:rsidR="00C95411" w:rsidRPr="00571F1A">
              <w:rPr>
                <w:rFonts w:ascii="Verdana" w:hAnsi="Verdana"/>
                <w:b/>
                <w:sz w:val="22"/>
                <w:szCs w:val="22"/>
                <w:lang w:val="el-GR"/>
              </w:rPr>
              <w:t xml:space="preserve">– χαρακτηρισμό </w:t>
            </w:r>
            <w:r w:rsidRPr="00571F1A">
              <w:rPr>
                <w:rFonts w:ascii="Verdana" w:hAnsi="Verdana"/>
                <w:b/>
                <w:sz w:val="22"/>
                <w:szCs w:val="22"/>
                <w:lang w:val="el-GR"/>
              </w:rPr>
              <w:t xml:space="preserve">των δημοτικών δρόμων κατά την έννοια των διατάξεων του αρθ. 14 του παρόντος Σ/Ν,οικοδομικές άδειες που έχουν εκδοθεί για κάθε χρήση, αναθεωρούνται και επεκτείνονται ως έχουν και στο προβλεπόμενο σε αυτές </w:t>
            </w:r>
            <w:r w:rsidR="00C95411" w:rsidRPr="00571F1A">
              <w:rPr>
                <w:rFonts w:ascii="Verdana" w:hAnsi="Verdana"/>
                <w:b/>
                <w:sz w:val="22"/>
                <w:szCs w:val="22"/>
                <w:lang w:val="el-GR"/>
              </w:rPr>
              <w:t xml:space="preserve">υφιστάμενο </w:t>
            </w:r>
            <w:r w:rsidRPr="00571F1A">
              <w:rPr>
                <w:rFonts w:ascii="Verdana" w:hAnsi="Verdana"/>
                <w:b/>
                <w:sz w:val="22"/>
                <w:szCs w:val="22"/>
                <w:lang w:val="el-GR"/>
              </w:rPr>
              <w:t xml:space="preserve">οδικό δίκτυο </w:t>
            </w:r>
            <w:r w:rsidR="00C95411" w:rsidRPr="00571F1A">
              <w:rPr>
                <w:rFonts w:ascii="Verdana" w:hAnsi="Verdana"/>
                <w:b/>
                <w:sz w:val="22"/>
                <w:szCs w:val="22"/>
                <w:lang w:val="el-GR"/>
              </w:rPr>
              <w:t xml:space="preserve">ανεξάρτητα αν αυτό είναι ή όχι χαρακτηρισμένο να </w:t>
            </w:r>
            <w:r w:rsidRPr="00571F1A">
              <w:rPr>
                <w:rFonts w:ascii="Verdana" w:hAnsi="Verdana"/>
                <w:b/>
                <w:sz w:val="22"/>
                <w:szCs w:val="22"/>
                <w:lang w:val="el-GR"/>
              </w:rPr>
              <w:t>μπορούν να εκδίδονται άδειες «εισόδου – εξόδου» ή κόμβων πρόσβασης προς τις αντίστοιχες ιδιοκτησίες κατά την κείμενη νομοθεσία</w:t>
            </w:r>
            <w:r w:rsidRPr="00571F1A">
              <w:rPr>
                <w:rFonts w:ascii="Verdana" w:hAnsi="Verdana"/>
                <w:sz w:val="22"/>
                <w:szCs w:val="22"/>
                <w:lang w:val="el-GR"/>
              </w:rPr>
              <w:t>.</w:t>
            </w:r>
          </w:p>
          <w:p w:rsidR="00E105BD" w:rsidRPr="00571F1A" w:rsidRDefault="00195D9F" w:rsidP="00E105BD">
            <w:pPr>
              <w:pStyle w:val="a6"/>
              <w:numPr>
                <w:ilvl w:val="0"/>
                <w:numId w:val="19"/>
              </w:numPr>
              <w:jc w:val="both"/>
              <w:rPr>
                <w:rFonts w:ascii="Verdana" w:hAnsi="Verdana"/>
                <w:sz w:val="22"/>
                <w:szCs w:val="22"/>
                <w:lang w:val="el-GR"/>
              </w:rPr>
            </w:pPr>
            <w:r w:rsidRPr="00571F1A">
              <w:rPr>
                <w:rFonts w:ascii="Verdana" w:hAnsi="Verdana"/>
                <w:b/>
                <w:sz w:val="22"/>
                <w:szCs w:val="22"/>
                <w:lang w:val="el-GR"/>
              </w:rPr>
              <w:t>Να γίνει ειδική αναφορά στο Ιταλικό κτηματολόγιο της Δωδ/σου το οποίο είναι σε ισχύ, που να προβλέπει ότι υφιστάμενοι κτηματολογικοί δρόμοι πλάτους τουλάχιστο 4 μ</w:t>
            </w:r>
            <w:r w:rsidR="00ED2DBD" w:rsidRPr="00571F1A">
              <w:rPr>
                <w:rFonts w:ascii="Verdana" w:hAnsi="Verdana"/>
                <w:sz w:val="22"/>
                <w:szCs w:val="22"/>
                <w:lang w:val="el-GR"/>
              </w:rPr>
              <w:t xml:space="preserve">. </w:t>
            </w:r>
            <w:r w:rsidRPr="00571F1A">
              <w:rPr>
                <w:rFonts w:ascii="Verdana" w:hAnsi="Verdana"/>
                <w:sz w:val="22"/>
                <w:szCs w:val="22"/>
                <w:lang w:val="el-GR"/>
              </w:rPr>
              <w:t>θεωρούνται δημοτικές οδοί Α κατηγορίας μέχρι να ενταχθούν στις νέες ρυθμίσεις κατά την έννοια των προβλέψεων του αρθ. αυτού.</w:t>
            </w:r>
          </w:p>
          <w:p w:rsidR="009956CD" w:rsidRPr="00571F1A" w:rsidRDefault="007F6FF4" w:rsidP="00E105BD">
            <w:pPr>
              <w:pStyle w:val="a6"/>
              <w:numPr>
                <w:ilvl w:val="0"/>
                <w:numId w:val="19"/>
              </w:numPr>
              <w:jc w:val="both"/>
              <w:rPr>
                <w:rFonts w:ascii="Verdana" w:hAnsi="Verdana"/>
                <w:sz w:val="22"/>
                <w:szCs w:val="22"/>
                <w:lang w:val="el-GR"/>
              </w:rPr>
            </w:pPr>
            <w:r w:rsidRPr="00571F1A">
              <w:rPr>
                <w:rFonts w:ascii="Verdana" w:hAnsi="Verdana"/>
                <w:sz w:val="22"/>
                <w:szCs w:val="22"/>
                <w:lang w:val="el-GR"/>
              </w:rPr>
              <w:t>Σ</w:t>
            </w:r>
            <w:r w:rsidR="00E105BD" w:rsidRPr="00571F1A">
              <w:rPr>
                <w:rFonts w:ascii="Verdana" w:hAnsi="Verdana"/>
                <w:sz w:val="22"/>
                <w:szCs w:val="22"/>
                <w:lang w:val="el-GR"/>
              </w:rPr>
              <w:t xml:space="preserve">τα πλαίσια της ιδιαιτερότητας του νησιωτικού τοπίου (ξερολιθιές κλπ) και επομένως των νησιωτικών πολιτικών </w:t>
            </w:r>
            <w:r w:rsidRPr="00571F1A">
              <w:rPr>
                <w:rFonts w:ascii="Verdana" w:hAnsi="Verdana"/>
                <w:sz w:val="22"/>
                <w:szCs w:val="22"/>
                <w:lang w:val="el-GR"/>
              </w:rPr>
              <w:t>να προσδιοριστεί ότι</w:t>
            </w:r>
            <w:r w:rsidR="00E105BD" w:rsidRPr="00571F1A">
              <w:rPr>
                <w:rFonts w:ascii="Verdana" w:hAnsi="Verdana"/>
                <w:b/>
                <w:sz w:val="22"/>
                <w:szCs w:val="22"/>
                <w:lang w:val="el-GR"/>
              </w:rPr>
              <w:t xml:space="preserve">δρόμοι που εντάσσονται αρμονικά στο </w:t>
            </w:r>
            <w:r w:rsidR="007824EF" w:rsidRPr="00571F1A">
              <w:rPr>
                <w:rFonts w:ascii="Verdana" w:hAnsi="Verdana"/>
                <w:b/>
                <w:sz w:val="22"/>
                <w:szCs w:val="22"/>
                <w:lang w:val="el-GR"/>
              </w:rPr>
              <w:t xml:space="preserve">νησιωτικό </w:t>
            </w:r>
            <w:r w:rsidR="00E105BD" w:rsidRPr="00571F1A">
              <w:rPr>
                <w:rFonts w:ascii="Verdana" w:hAnsi="Verdana"/>
                <w:b/>
                <w:sz w:val="22"/>
                <w:szCs w:val="22"/>
                <w:lang w:val="el-GR"/>
              </w:rPr>
              <w:t>περιβάλλον και έχουν πλάτος λιγότερο από 6 μ.</w:t>
            </w:r>
            <w:r w:rsidR="007824EF" w:rsidRPr="00571F1A">
              <w:rPr>
                <w:rFonts w:ascii="Verdana" w:hAnsi="Verdana"/>
                <w:sz w:val="22"/>
                <w:szCs w:val="22"/>
                <w:lang w:val="el-GR"/>
              </w:rPr>
              <w:t>(</w:t>
            </w:r>
            <w:r w:rsidR="00E105BD" w:rsidRPr="00571F1A">
              <w:rPr>
                <w:rFonts w:ascii="Verdana" w:hAnsi="Verdana"/>
                <w:sz w:val="22"/>
                <w:szCs w:val="22"/>
                <w:lang w:val="el-GR"/>
              </w:rPr>
              <w:t xml:space="preserve">όπως για παράδειγμα συμβαίνει σε πολλά </w:t>
            </w:r>
            <w:r w:rsidR="009956CD" w:rsidRPr="00571F1A">
              <w:rPr>
                <w:rFonts w:ascii="Verdana" w:hAnsi="Verdana"/>
                <w:sz w:val="22"/>
                <w:szCs w:val="22"/>
                <w:lang w:val="el-GR"/>
              </w:rPr>
              <w:t>νησιά των Κυκλάδων και της Δωδεκανήσου</w:t>
            </w:r>
            <w:r w:rsidR="007824EF" w:rsidRPr="00571F1A">
              <w:rPr>
                <w:rFonts w:ascii="Verdana" w:hAnsi="Verdana"/>
                <w:sz w:val="22"/>
                <w:szCs w:val="22"/>
                <w:lang w:val="el-GR"/>
              </w:rPr>
              <w:t>)</w:t>
            </w:r>
            <w:r w:rsidR="00E105BD" w:rsidRPr="00571F1A">
              <w:rPr>
                <w:rFonts w:ascii="Verdana" w:hAnsi="Verdana"/>
                <w:sz w:val="22"/>
                <w:szCs w:val="22"/>
                <w:lang w:val="el-GR"/>
              </w:rPr>
              <w:t>,</w:t>
            </w:r>
            <w:r w:rsidR="008E5C6D" w:rsidRPr="00571F1A">
              <w:rPr>
                <w:rFonts w:ascii="Verdana" w:hAnsi="Verdana"/>
                <w:b/>
                <w:sz w:val="22"/>
                <w:szCs w:val="22"/>
                <w:lang w:val="el-GR"/>
              </w:rPr>
              <w:t xml:space="preserve">να παραμείνουν ως έχουν </w:t>
            </w:r>
            <w:r w:rsidR="007824EF" w:rsidRPr="00571F1A">
              <w:rPr>
                <w:rFonts w:ascii="Verdana" w:hAnsi="Verdana"/>
                <w:b/>
                <w:sz w:val="22"/>
                <w:szCs w:val="22"/>
                <w:lang w:val="el-GR"/>
              </w:rPr>
              <w:t xml:space="preserve">ως προς τη δυνατότητα δημιουργίας προσβασιμότητας – προσώπου </w:t>
            </w:r>
            <w:r w:rsidR="008E5C6D" w:rsidRPr="00571F1A">
              <w:rPr>
                <w:rFonts w:ascii="Verdana" w:hAnsi="Verdana"/>
                <w:b/>
                <w:sz w:val="22"/>
                <w:szCs w:val="22"/>
                <w:lang w:val="el-GR"/>
              </w:rPr>
              <w:t>πολύ δε περισσότερο όταν αυτοί είναι προϋφιστάμενοι του ’23.</w:t>
            </w:r>
          </w:p>
          <w:p w:rsidR="00E105BD" w:rsidRPr="00571F1A" w:rsidRDefault="00E105BD" w:rsidP="009956CD">
            <w:pPr>
              <w:pStyle w:val="a6"/>
              <w:ind w:left="360"/>
              <w:jc w:val="both"/>
              <w:rPr>
                <w:rFonts w:ascii="Verdana" w:hAnsi="Verdana"/>
                <w:sz w:val="22"/>
                <w:szCs w:val="22"/>
                <w:lang w:val="el-GR"/>
              </w:rPr>
            </w:pPr>
            <w:r w:rsidRPr="00571F1A">
              <w:rPr>
                <w:rFonts w:ascii="Verdana" w:hAnsi="Verdana"/>
                <w:sz w:val="22"/>
                <w:szCs w:val="22"/>
                <w:lang w:val="el-GR"/>
              </w:rPr>
              <w:t xml:space="preserve">Επί πλέον να παρασχεθεί η δυνατότητα στη συνολική μελέτη που θα γίνει για το χαρακτηρισμό των δημοτικών οδών, να υπάρξουν και πλάτη </w:t>
            </w:r>
            <w:r w:rsidR="008E5C6D" w:rsidRPr="00571F1A">
              <w:rPr>
                <w:rFonts w:ascii="Verdana" w:hAnsi="Verdana"/>
                <w:sz w:val="22"/>
                <w:szCs w:val="22"/>
                <w:lang w:val="el-GR"/>
              </w:rPr>
              <w:t xml:space="preserve">δημοτικών </w:t>
            </w:r>
            <w:r w:rsidRPr="00571F1A">
              <w:rPr>
                <w:rFonts w:ascii="Verdana" w:hAnsi="Verdana"/>
                <w:sz w:val="22"/>
                <w:szCs w:val="22"/>
                <w:lang w:val="el-GR"/>
              </w:rPr>
              <w:t xml:space="preserve">οδών </w:t>
            </w:r>
            <w:r w:rsidR="008E5C6D" w:rsidRPr="00571F1A">
              <w:rPr>
                <w:rFonts w:ascii="Verdana" w:hAnsi="Verdana"/>
                <w:sz w:val="22"/>
                <w:szCs w:val="22"/>
                <w:lang w:val="el-GR"/>
              </w:rPr>
              <w:t xml:space="preserve">Α κατηγορίας </w:t>
            </w:r>
            <w:r w:rsidRPr="00571F1A">
              <w:rPr>
                <w:rFonts w:ascii="Verdana" w:hAnsi="Verdana"/>
                <w:sz w:val="22"/>
                <w:szCs w:val="22"/>
                <w:lang w:val="el-GR"/>
              </w:rPr>
              <w:t>μικρότερα από 6 μ. ειδικά για τις νησιωτικές περιοχές και ανάλογα με την ιδιαιτερότητα του τοπίου.</w:t>
            </w:r>
          </w:p>
          <w:p w:rsidR="00ED2DBD" w:rsidRPr="00571F1A" w:rsidRDefault="00ED2DBD" w:rsidP="00195D9F">
            <w:pPr>
              <w:jc w:val="both"/>
              <w:rPr>
                <w:rFonts w:ascii="Verdana" w:hAnsi="Verdana"/>
                <w:sz w:val="22"/>
                <w:szCs w:val="22"/>
                <w:lang w:val="el-GR"/>
              </w:rPr>
            </w:pPr>
          </w:p>
          <w:p w:rsidR="00FC1EAD" w:rsidRPr="00571F1A" w:rsidRDefault="00FC1EAD" w:rsidP="00195D9F">
            <w:pPr>
              <w:jc w:val="both"/>
              <w:rPr>
                <w:rFonts w:ascii="Verdana" w:hAnsi="Verdana"/>
                <w:b/>
                <w:sz w:val="22"/>
                <w:szCs w:val="22"/>
                <w:u w:val="single"/>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Αρθ. 28. Ειδικές διατάξεις για την εκτός σχεδίου δόμηση.</w:t>
            </w:r>
          </w:p>
          <w:p w:rsidR="008E5C6D" w:rsidRPr="00571F1A" w:rsidRDefault="00195D9F" w:rsidP="008E5C6D">
            <w:pPr>
              <w:pStyle w:val="a6"/>
              <w:numPr>
                <w:ilvl w:val="0"/>
                <w:numId w:val="19"/>
              </w:numPr>
              <w:spacing w:after="120"/>
              <w:jc w:val="both"/>
              <w:rPr>
                <w:rFonts w:ascii="Verdana" w:hAnsi="Verdana"/>
                <w:b/>
                <w:sz w:val="22"/>
                <w:szCs w:val="22"/>
                <w:lang w:val="el-GR"/>
              </w:rPr>
            </w:pPr>
            <w:r w:rsidRPr="00571F1A">
              <w:rPr>
                <w:rFonts w:ascii="Verdana" w:hAnsi="Verdana"/>
                <w:b/>
                <w:sz w:val="22"/>
                <w:szCs w:val="22"/>
                <w:lang w:val="el-GR"/>
              </w:rPr>
              <w:t>Το όριο αρτιότητας των γηπέδων προοριζόμενων για χρήση τουριστικών καταλυμάτων σε νησιά &lt; 3.000 κατ.  να προσδιοριστεί σε 4.000 μ2</w:t>
            </w:r>
          </w:p>
          <w:p w:rsidR="008E5C6D" w:rsidRPr="00571F1A" w:rsidRDefault="008E5C6D" w:rsidP="008E5C6D">
            <w:pPr>
              <w:pStyle w:val="a6"/>
              <w:numPr>
                <w:ilvl w:val="0"/>
                <w:numId w:val="19"/>
              </w:numPr>
              <w:spacing w:after="120"/>
              <w:jc w:val="both"/>
              <w:rPr>
                <w:rFonts w:ascii="Verdana" w:hAnsi="Verdana"/>
                <w:b/>
                <w:sz w:val="22"/>
                <w:szCs w:val="22"/>
                <w:lang w:val="el-GR"/>
              </w:rPr>
            </w:pPr>
            <w:r w:rsidRPr="00571F1A">
              <w:rPr>
                <w:rFonts w:ascii="Verdana" w:hAnsi="Verdana"/>
                <w:b/>
                <w:sz w:val="22"/>
                <w:szCs w:val="22"/>
                <w:lang w:val="el-GR"/>
              </w:rPr>
              <w:t>Το  προτεινόμενο μήκος προσώπου</w:t>
            </w:r>
            <w:r w:rsidRPr="00571F1A">
              <w:rPr>
                <w:rFonts w:ascii="Verdana" w:hAnsi="Verdana"/>
                <w:sz w:val="22"/>
                <w:szCs w:val="22"/>
                <w:lang w:val="el-GR"/>
              </w:rPr>
              <w:t xml:space="preserve"> 45 μ. επί κοινόχρηστου χώρου προκειμένου να καταστεί άρτιο ένα γήπεδο είναι ανεδαφικό, τουλάχιστο για τις νησιωτικές περιοχές. </w:t>
            </w:r>
            <w:r w:rsidRPr="00571F1A">
              <w:rPr>
                <w:rFonts w:ascii="Verdana" w:hAnsi="Verdana"/>
                <w:b/>
                <w:sz w:val="22"/>
                <w:szCs w:val="22"/>
                <w:lang w:val="el-GR"/>
              </w:rPr>
              <w:t>Προτείνουμε να παραμείνει στα 25 μ.</w:t>
            </w:r>
          </w:p>
          <w:p w:rsidR="00900E6B" w:rsidRPr="00571F1A" w:rsidRDefault="008E5C6D" w:rsidP="008E5C6D">
            <w:pPr>
              <w:pStyle w:val="a6"/>
              <w:numPr>
                <w:ilvl w:val="0"/>
                <w:numId w:val="19"/>
              </w:numPr>
              <w:spacing w:after="120"/>
              <w:jc w:val="both"/>
              <w:rPr>
                <w:rFonts w:ascii="Verdana" w:hAnsi="Verdana"/>
                <w:sz w:val="22"/>
                <w:szCs w:val="22"/>
                <w:lang w:val="el-GR"/>
              </w:rPr>
            </w:pPr>
            <w:r w:rsidRPr="00571F1A">
              <w:rPr>
                <w:rFonts w:ascii="Verdana" w:hAnsi="Verdana" w:hint="eastAsia"/>
                <w:b/>
                <w:sz w:val="22"/>
                <w:szCs w:val="22"/>
                <w:lang w:val="el-GR"/>
              </w:rPr>
              <w:t>Ηπαρέκκλισητων</w:t>
            </w:r>
            <w:r w:rsidRPr="00571F1A">
              <w:rPr>
                <w:rFonts w:ascii="Verdana" w:hAnsi="Verdana"/>
                <w:b/>
                <w:sz w:val="22"/>
                <w:szCs w:val="22"/>
                <w:lang w:val="el-GR"/>
              </w:rPr>
              <w:t xml:space="preserve"> 2000 </w:t>
            </w:r>
            <w:r w:rsidRPr="00571F1A">
              <w:rPr>
                <w:rFonts w:ascii="Verdana" w:hAnsi="Verdana" w:hint="eastAsia"/>
                <w:b/>
                <w:sz w:val="22"/>
                <w:szCs w:val="22"/>
                <w:lang w:val="el-GR"/>
              </w:rPr>
              <w:t>τ</w:t>
            </w:r>
            <w:r w:rsidRPr="00571F1A">
              <w:rPr>
                <w:rFonts w:ascii="Verdana" w:hAnsi="Verdana"/>
                <w:b/>
                <w:sz w:val="22"/>
                <w:szCs w:val="22"/>
                <w:lang w:val="el-GR"/>
              </w:rPr>
              <w:t>.</w:t>
            </w:r>
            <w:r w:rsidRPr="00571F1A">
              <w:rPr>
                <w:rFonts w:ascii="Verdana" w:hAnsi="Verdana" w:hint="eastAsia"/>
                <w:b/>
                <w:sz w:val="22"/>
                <w:szCs w:val="22"/>
                <w:lang w:val="el-GR"/>
              </w:rPr>
              <w:t>μ</w:t>
            </w:r>
            <w:r w:rsidRPr="00571F1A">
              <w:rPr>
                <w:rFonts w:ascii="Verdana" w:hAnsi="Verdana"/>
                <w:sz w:val="22"/>
                <w:szCs w:val="22"/>
                <w:lang w:val="el-GR"/>
              </w:rPr>
              <w:t xml:space="preserve">. σε εκτός σχεδίου περιοχές </w:t>
            </w:r>
            <w:r w:rsidRPr="00571F1A">
              <w:rPr>
                <w:rFonts w:ascii="Verdana" w:hAnsi="Verdana" w:hint="eastAsia"/>
                <w:sz w:val="22"/>
                <w:szCs w:val="22"/>
                <w:lang w:val="el-GR"/>
              </w:rPr>
              <w:t>γιαοικόπεδαεντός</w:t>
            </w:r>
            <w:r w:rsidRPr="00571F1A">
              <w:rPr>
                <w:rFonts w:ascii="Verdana" w:hAnsi="Verdana"/>
                <w:sz w:val="22"/>
                <w:szCs w:val="22"/>
                <w:lang w:val="el-GR"/>
              </w:rPr>
              <w:t xml:space="preserve"> 500 </w:t>
            </w:r>
            <w:r w:rsidRPr="00571F1A">
              <w:rPr>
                <w:rFonts w:ascii="Verdana" w:hAnsi="Verdana" w:hint="eastAsia"/>
                <w:sz w:val="22"/>
                <w:szCs w:val="22"/>
                <w:lang w:val="el-GR"/>
              </w:rPr>
              <w:t xml:space="preserve">μέτρωναπό τα όρια </w:t>
            </w:r>
            <w:r w:rsidRPr="00571F1A">
              <w:rPr>
                <w:rFonts w:ascii="Verdana" w:hAnsi="Verdana"/>
                <w:sz w:val="22"/>
                <w:szCs w:val="22"/>
                <w:lang w:val="el-GR"/>
              </w:rPr>
              <w:t xml:space="preserve">(πυκνοδομημένο τμήμα) των οικισμών (εντός ζώνης) </w:t>
            </w:r>
            <w:r w:rsidRPr="00571F1A">
              <w:rPr>
                <w:rFonts w:ascii="Verdana" w:hAnsi="Verdana" w:hint="eastAsia"/>
                <w:sz w:val="22"/>
                <w:szCs w:val="22"/>
                <w:lang w:val="el-GR"/>
              </w:rPr>
              <w:t>θαπρέπει</w:t>
            </w:r>
            <w:r w:rsidRPr="00571F1A">
              <w:rPr>
                <w:rFonts w:ascii="Verdana" w:hAnsi="Verdana" w:hint="eastAsia"/>
                <w:b/>
                <w:sz w:val="22"/>
                <w:szCs w:val="22"/>
                <w:lang w:val="el-GR"/>
              </w:rPr>
              <w:t>ναδιατηρηθείωςέχει</w:t>
            </w:r>
            <w:r w:rsidRPr="00571F1A">
              <w:rPr>
                <w:rFonts w:ascii="Verdana" w:hAnsi="Verdana"/>
                <w:b/>
                <w:sz w:val="22"/>
                <w:szCs w:val="22"/>
                <w:lang w:val="el-GR"/>
              </w:rPr>
              <w:t>.</w:t>
            </w:r>
          </w:p>
          <w:p w:rsidR="008E5C6D" w:rsidRPr="00571F1A" w:rsidRDefault="008E5C6D" w:rsidP="008E5C6D">
            <w:pPr>
              <w:pStyle w:val="a6"/>
              <w:numPr>
                <w:ilvl w:val="0"/>
                <w:numId w:val="19"/>
              </w:numPr>
              <w:spacing w:after="120"/>
              <w:jc w:val="both"/>
              <w:rPr>
                <w:rFonts w:ascii="Verdana" w:hAnsi="Verdana"/>
                <w:sz w:val="22"/>
                <w:szCs w:val="22"/>
                <w:lang w:val="el-GR"/>
              </w:rPr>
            </w:pPr>
            <w:r w:rsidRPr="00571F1A">
              <w:rPr>
                <w:rFonts w:ascii="Verdana" w:hAnsi="Verdana"/>
                <w:sz w:val="22"/>
                <w:szCs w:val="22"/>
                <w:lang w:val="el-GR"/>
              </w:rPr>
              <w:t xml:space="preserve">Όσον αφορά </w:t>
            </w:r>
            <w:r w:rsidRPr="00571F1A">
              <w:rPr>
                <w:rFonts w:ascii="Verdana" w:hAnsi="Verdana"/>
                <w:b/>
                <w:sz w:val="22"/>
                <w:szCs w:val="22"/>
                <w:lang w:val="el-GR"/>
              </w:rPr>
              <w:t>στο «βάθος» των γηπέδων εκτός σχεδίου</w:t>
            </w:r>
            <w:r w:rsidRPr="00571F1A">
              <w:rPr>
                <w:rFonts w:ascii="Verdana" w:hAnsi="Verdana"/>
                <w:sz w:val="22"/>
                <w:szCs w:val="22"/>
                <w:lang w:val="el-GR"/>
              </w:rPr>
              <w:t xml:space="preserve">, αυτό έχει ήδη καταργηθεί. </w:t>
            </w:r>
            <w:r w:rsidRPr="00571F1A">
              <w:rPr>
                <w:rFonts w:ascii="Verdana" w:hAnsi="Verdana"/>
                <w:b/>
                <w:sz w:val="22"/>
                <w:szCs w:val="22"/>
                <w:lang w:val="el-GR"/>
              </w:rPr>
              <w:t>Δεν βλέπουμε το λόγο που επανέρχεται με το παρόν Σ/Ν.</w:t>
            </w:r>
          </w:p>
          <w:p w:rsidR="008E5C6D" w:rsidRPr="00571F1A" w:rsidRDefault="008E5C6D" w:rsidP="008E5C6D">
            <w:pPr>
              <w:pStyle w:val="a6"/>
              <w:numPr>
                <w:ilvl w:val="0"/>
                <w:numId w:val="19"/>
              </w:numPr>
              <w:spacing w:after="120"/>
              <w:jc w:val="both"/>
              <w:rPr>
                <w:rFonts w:ascii="Verdana" w:hAnsi="Verdana"/>
                <w:sz w:val="22"/>
                <w:szCs w:val="22"/>
                <w:lang w:val="el-GR"/>
              </w:rPr>
            </w:pPr>
            <w:r w:rsidRPr="00571F1A">
              <w:rPr>
                <w:rFonts w:ascii="Verdana" w:hAnsi="Verdana"/>
                <w:b/>
                <w:sz w:val="22"/>
                <w:szCs w:val="22"/>
                <w:lang w:val="el-GR"/>
              </w:rPr>
              <w:t>Να τεθεί μεταβατική διάταξη που να προσδιορίζει ότι μέχρι την ολ</w:t>
            </w:r>
            <w:r w:rsidR="00864485" w:rsidRPr="00571F1A">
              <w:rPr>
                <w:rFonts w:ascii="Verdana" w:hAnsi="Verdana"/>
                <w:b/>
                <w:sz w:val="22"/>
                <w:szCs w:val="22"/>
                <w:lang w:val="el-GR"/>
              </w:rPr>
              <w:t>οκλήρωση του Χωρικού Σ</w:t>
            </w:r>
            <w:r w:rsidRPr="00571F1A">
              <w:rPr>
                <w:rFonts w:ascii="Verdana" w:hAnsi="Verdana"/>
                <w:b/>
                <w:sz w:val="22"/>
                <w:szCs w:val="22"/>
                <w:lang w:val="el-GR"/>
              </w:rPr>
              <w:t>χεδιασμού κατά τις διατάξεις του παρόντος Σ/Ν, γήπεδα εκτός σχεδίου που είχαν τις πρ</w:t>
            </w:r>
            <w:r w:rsidR="007F6FF4" w:rsidRPr="00571F1A">
              <w:rPr>
                <w:rFonts w:ascii="Verdana" w:hAnsi="Verdana"/>
                <w:b/>
                <w:sz w:val="22"/>
                <w:szCs w:val="22"/>
                <w:lang w:val="el-GR"/>
              </w:rPr>
              <w:t>ο</w:t>
            </w:r>
            <w:r w:rsidRPr="00571F1A">
              <w:rPr>
                <w:rFonts w:ascii="Verdana" w:hAnsi="Verdana"/>
                <w:b/>
                <w:sz w:val="22"/>
                <w:szCs w:val="22"/>
                <w:lang w:val="el-GR"/>
              </w:rPr>
              <w:t>ϋποθέσεις αρτιότητας – οικοδομησιμότητας με το προηγούμενο θεσμικό καθεστώς παραμένουν άρτια και οικοδομήσιμα ως είχαν</w:t>
            </w:r>
            <w:r w:rsidR="00864485" w:rsidRPr="00571F1A">
              <w:rPr>
                <w:rFonts w:ascii="Verdana" w:hAnsi="Verdana"/>
                <w:b/>
                <w:sz w:val="22"/>
                <w:szCs w:val="22"/>
                <w:lang w:val="el-GR"/>
              </w:rPr>
              <w:t xml:space="preserve"> πριν την ισχύ του παρόντος</w:t>
            </w:r>
            <w:r w:rsidRPr="00571F1A">
              <w:rPr>
                <w:rFonts w:ascii="Verdana" w:hAnsi="Verdana"/>
                <w:b/>
                <w:sz w:val="22"/>
                <w:szCs w:val="22"/>
                <w:lang w:val="el-GR"/>
              </w:rPr>
              <w:t xml:space="preserve">. Σαν δεύτερη επιλογή, </w:t>
            </w:r>
            <w:r w:rsidR="00864485" w:rsidRPr="00571F1A">
              <w:rPr>
                <w:rFonts w:ascii="Verdana" w:hAnsi="Verdana"/>
                <w:b/>
                <w:sz w:val="22"/>
                <w:szCs w:val="22"/>
                <w:lang w:val="el-GR"/>
              </w:rPr>
              <w:t>προτείνουμε</w:t>
            </w:r>
            <w:r w:rsidRPr="00571F1A">
              <w:rPr>
                <w:rFonts w:ascii="Verdana" w:hAnsi="Verdana"/>
                <w:b/>
                <w:sz w:val="22"/>
                <w:szCs w:val="22"/>
                <w:lang w:val="el-GR"/>
              </w:rPr>
              <w:t xml:space="preserve"> να υπάρξει μεταβατική περίοδος τουλάχιστο 5 ετών για την προσαρμογή στα οριζόμενα στο παρόν Σ/Ν αντί των 2 προβλεπομένων. </w:t>
            </w:r>
          </w:p>
          <w:p w:rsidR="008E5C6D" w:rsidRPr="00571F1A" w:rsidRDefault="008E5C6D" w:rsidP="008E5C6D">
            <w:pPr>
              <w:pStyle w:val="a6"/>
              <w:numPr>
                <w:ilvl w:val="0"/>
                <w:numId w:val="19"/>
              </w:numPr>
              <w:spacing w:after="120"/>
              <w:jc w:val="both"/>
              <w:rPr>
                <w:rFonts w:ascii="Verdana" w:hAnsi="Verdana"/>
                <w:sz w:val="22"/>
                <w:szCs w:val="22"/>
                <w:lang w:val="el-GR"/>
              </w:rPr>
            </w:pPr>
            <w:r w:rsidRPr="00571F1A">
              <w:rPr>
                <w:rFonts w:ascii="Verdana" w:hAnsi="Verdana"/>
                <w:b/>
                <w:sz w:val="22"/>
                <w:szCs w:val="22"/>
                <w:lang w:val="el-GR"/>
              </w:rPr>
              <w:t>Να προστεθεί μεταβατική διάταξη που να προσδιορίζει ότι άδειες που έχουν κατατεθεί και δεν έχουν εκδοθεί, εκδίδονται βάσει των διατάξεων με τις οποίες κατατέθηκαν η δε αναθεώρηση γίνεται με τις διατάξεις βάσει των οποίων εκδόθηκαν.</w:t>
            </w:r>
          </w:p>
          <w:p w:rsidR="00FC1EAD" w:rsidRPr="00571F1A" w:rsidRDefault="00FC1EAD" w:rsidP="00FC1EAD">
            <w:pPr>
              <w:pStyle w:val="a6"/>
              <w:ind w:left="426"/>
              <w:jc w:val="both"/>
              <w:rPr>
                <w:rFonts w:ascii="Verdana" w:hAnsi="Verdana"/>
                <w:b/>
                <w:sz w:val="22"/>
                <w:szCs w:val="22"/>
                <w:lang w:val="el-GR"/>
              </w:rPr>
            </w:pPr>
          </w:p>
          <w:p w:rsidR="00195D9F" w:rsidRPr="00571F1A" w:rsidRDefault="00195D9F" w:rsidP="00195D9F">
            <w:pPr>
              <w:jc w:val="both"/>
              <w:rPr>
                <w:rFonts w:ascii="Verdana" w:hAnsi="Verdana"/>
                <w:b/>
                <w:sz w:val="22"/>
                <w:szCs w:val="22"/>
                <w:u w:val="single"/>
                <w:lang w:val="el-GR"/>
              </w:rPr>
            </w:pPr>
            <w:r w:rsidRPr="00571F1A">
              <w:rPr>
                <w:rFonts w:ascii="Verdana" w:hAnsi="Verdana"/>
                <w:b/>
                <w:sz w:val="22"/>
                <w:szCs w:val="22"/>
                <w:u w:val="single"/>
                <w:lang w:val="el-GR"/>
              </w:rPr>
              <w:t>Άρθρα που αφορούν στη Θαλάσσια Χωροταξία.</w:t>
            </w:r>
          </w:p>
          <w:p w:rsidR="00195D9F" w:rsidRPr="00571F1A" w:rsidRDefault="00195D9F" w:rsidP="00B84A38">
            <w:pPr>
              <w:pStyle w:val="a6"/>
              <w:numPr>
                <w:ilvl w:val="0"/>
                <w:numId w:val="19"/>
              </w:numPr>
              <w:jc w:val="both"/>
              <w:rPr>
                <w:rFonts w:ascii="Verdana" w:hAnsi="Verdana"/>
                <w:b/>
                <w:sz w:val="22"/>
                <w:szCs w:val="22"/>
                <w:lang w:val="el-GR"/>
              </w:rPr>
            </w:pPr>
            <w:r w:rsidRPr="00571F1A">
              <w:rPr>
                <w:rFonts w:ascii="Verdana" w:hAnsi="Verdana"/>
                <w:b/>
                <w:sz w:val="22"/>
                <w:szCs w:val="22"/>
                <w:lang w:val="el-GR"/>
              </w:rPr>
              <w:t>Να γίνει ειδική μνεία στις νησιωτικές Περιφέρειες της χώρας οι οποίες πρέπει να συμμετέχουν τόσο σε επίπεδο κίνησης διαδικασίας του θαλάσσιου χωροταξικού σχεδιασμού περιφερειακού επιπέδου όσο και σε κάθε επιτροπή παρακολούθησης των αντίστοιχων μελετών κάθε επιπέδου.</w:t>
            </w:r>
          </w:p>
          <w:p w:rsidR="0032212D" w:rsidRPr="00571F1A" w:rsidRDefault="0032212D" w:rsidP="00195D9F">
            <w:pPr>
              <w:jc w:val="both"/>
              <w:rPr>
                <w:rFonts w:ascii="Verdana" w:hAnsi="Verdana"/>
                <w:b/>
                <w:sz w:val="22"/>
                <w:szCs w:val="22"/>
                <w:lang w:val="el-GR"/>
              </w:rPr>
            </w:pPr>
          </w:p>
          <w:p w:rsidR="00195D9F" w:rsidRPr="00571F1A" w:rsidRDefault="00195D9F" w:rsidP="00195D9F">
            <w:pPr>
              <w:jc w:val="both"/>
              <w:rPr>
                <w:rFonts w:ascii="Verdana" w:hAnsi="Verdana"/>
                <w:sz w:val="22"/>
                <w:szCs w:val="22"/>
                <w:u w:val="single"/>
                <w:lang w:val="el-GR"/>
              </w:rPr>
            </w:pPr>
            <w:r w:rsidRPr="00571F1A">
              <w:rPr>
                <w:rFonts w:ascii="Verdana" w:hAnsi="Verdana"/>
                <w:b/>
                <w:sz w:val="22"/>
                <w:szCs w:val="22"/>
                <w:u w:val="single"/>
                <w:lang w:val="el-GR"/>
              </w:rPr>
              <w:t>Αρθ. 98 Κεντρική Επιτροπή Προσβασιμότητας</w:t>
            </w:r>
            <w:r w:rsidRPr="00571F1A">
              <w:rPr>
                <w:rFonts w:ascii="Verdana" w:hAnsi="Verdana"/>
                <w:sz w:val="22"/>
                <w:szCs w:val="22"/>
                <w:u w:val="single"/>
                <w:lang w:val="el-GR"/>
              </w:rPr>
              <w:t>.</w:t>
            </w:r>
          </w:p>
          <w:p w:rsidR="00195D9F" w:rsidRPr="00571F1A" w:rsidRDefault="00195D9F" w:rsidP="00B84A38">
            <w:pPr>
              <w:pStyle w:val="a6"/>
              <w:numPr>
                <w:ilvl w:val="0"/>
                <w:numId w:val="19"/>
              </w:numPr>
              <w:jc w:val="both"/>
              <w:rPr>
                <w:rFonts w:ascii="Verdana" w:hAnsi="Verdana"/>
                <w:b/>
                <w:sz w:val="22"/>
                <w:szCs w:val="22"/>
                <w:lang w:val="el-GR"/>
              </w:rPr>
            </w:pPr>
            <w:r w:rsidRPr="00571F1A">
              <w:rPr>
                <w:rFonts w:ascii="Verdana" w:hAnsi="Verdana"/>
                <w:b/>
                <w:sz w:val="22"/>
                <w:szCs w:val="22"/>
                <w:lang w:val="el-GR"/>
              </w:rPr>
              <w:t>Να προβλεφθεί εκπρόσωπος ΕΝΠΕ στη σύνθεσή της.</w:t>
            </w:r>
          </w:p>
          <w:p w:rsidR="00195D9F" w:rsidRPr="00571F1A" w:rsidRDefault="00195D9F" w:rsidP="00195D9F">
            <w:pPr>
              <w:jc w:val="both"/>
              <w:rPr>
                <w:rFonts w:ascii="Verdana" w:hAnsi="Verdana"/>
                <w:sz w:val="22"/>
                <w:szCs w:val="22"/>
                <w:lang w:val="el-GR"/>
              </w:rPr>
            </w:pPr>
          </w:p>
          <w:p w:rsidR="00650D14" w:rsidRPr="00571F1A" w:rsidRDefault="00650D14" w:rsidP="00CA6921">
            <w:pPr>
              <w:jc w:val="both"/>
              <w:rPr>
                <w:rFonts w:ascii="Verdana" w:hAnsi="Verdana"/>
                <w:sz w:val="22"/>
                <w:szCs w:val="22"/>
                <w:lang w:val="el-GR"/>
              </w:rPr>
            </w:pPr>
          </w:p>
          <w:p w:rsidR="00CE23B0" w:rsidRPr="00571F1A" w:rsidRDefault="00B75143" w:rsidP="00CA6921">
            <w:pPr>
              <w:jc w:val="both"/>
              <w:rPr>
                <w:rFonts w:ascii="Verdana" w:hAnsi="Verdana"/>
                <w:b/>
                <w:sz w:val="22"/>
                <w:szCs w:val="22"/>
                <w:lang w:val="el-GR"/>
              </w:rPr>
            </w:pPr>
            <w:r>
              <w:rPr>
                <w:rFonts w:ascii="Verdana" w:hAnsi="Verdana"/>
                <w:b/>
                <w:sz w:val="22"/>
                <w:szCs w:val="22"/>
                <w:lang w:val="el-GR"/>
              </w:rPr>
              <w:t>Παρακαλούμε</w:t>
            </w:r>
            <w:r w:rsidR="00F832CC" w:rsidRPr="00571F1A">
              <w:rPr>
                <w:rFonts w:ascii="Verdana" w:hAnsi="Verdana"/>
                <w:b/>
                <w:sz w:val="22"/>
                <w:szCs w:val="22"/>
                <w:lang w:val="el-GR"/>
              </w:rPr>
              <w:t xml:space="preserve"> να γίνουν δεκτές και να ενσωματωθούν στο υπ’ όψιν Σ/Ν όλες οι παραπάνω παρατηρήσεις </w:t>
            </w:r>
            <w:r>
              <w:rPr>
                <w:rFonts w:ascii="Verdana" w:hAnsi="Verdana"/>
                <w:b/>
                <w:sz w:val="22"/>
                <w:szCs w:val="22"/>
                <w:lang w:val="el-GR"/>
              </w:rPr>
              <w:t>–</w:t>
            </w:r>
            <w:r w:rsidR="00F832CC" w:rsidRPr="00571F1A">
              <w:rPr>
                <w:rFonts w:ascii="Verdana" w:hAnsi="Verdana"/>
                <w:b/>
                <w:sz w:val="22"/>
                <w:szCs w:val="22"/>
                <w:lang w:val="el-GR"/>
              </w:rPr>
              <w:t xml:space="preserve"> προτάσεις</w:t>
            </w:r>
            <w:r>
              <w:rPr>
                <w:rFonts w:ascii="Verdana" w:hAnsi="Verdana"/>
                <w:b/>
                <w:sz w:val="22"/>
                <w:szCs w:val="22"/>
                <w:lang w:val="el-GR"/>
              </w:rPr>
              <w:t>.</w:t>
            </w:r>
          </w:p>
          <w:p w:rsidR="00CE23B0" w:rsidRPr="00571F1A" w:rsidRDefault="00CE23B0" w:rsidP="00CA6921">
            <w:pPr>
              <w:jc w:val="both"/>
              <w:rPr>
                <w:rFonts w:ascii="Verdana" w:hAnsi="Verdana"/>
                <w:sz w:val="22"/>
                <w:szCs w:val="22"/>
                <w:lang w:val="el-GR"/>
              </w:rPr>
            </w:pPr>
          </w:p>
        </w:tc>
      </w:tr>
    </w:tbl>
    <w:p w:rsidR="005D285D" w:rsidRPr="00D376AD" w:rsidRDefault="005D285D" w:rsidP="00CA6921">
      <w:pPr>
        <w:widowControl w:val="0"/>
        <w:tabs>
          <w:tab w:val="num" w:pos="851"/>
        </w:tabs>
        <w:ind w:right="-694"/>
        <w:rPr>
          <w:rFonts w:ascii="Verdana" w:hAnsi="Verdana"/>
          <w:color w:val="000000"/>
          <w:sz w:val="22"/>
          <w:szCs w:val="22"/>
          <w:lang w:val="el-GR"/>
        </w:rPr>
      </w:pPr>
      <w:r w:rsidRPr="00D376AD">
        <w:rPr>
          <w:rFonts w:ascii="Verdana" w:hAnsi="Verdana"/>
          <w:color w:val="000000"/>
          <w:sz w:val="22"/>
          <w:szCs w:val="22"/>
          <w:lang w:val="el-GR"/>
        </w:rPr>
        <w:lastRenderedPageBreak/>
        <w:tab/>
      </w:r>
      <w:r w:rsidRPr="00D376AD">
        <w:rPr>
          <w:rFonts w:ascii="Verdana" w:hAnsi="Verdana"/>
          <w:color w:val="000000"/>
          <w:sz w:val="22"/>
          <w:szCs w:val="22"/>
          <w:lang w:val="el-GR"/>
        </w:rPr>
        <w:tab/>
      </w:r>
    </w:p>
    <w:p w:rsidR="00B75143" w:rsidRDefault="005D285D" w:rsidP="005D285D">
      <w:pPr>
        <w:widowControl w:val="0"/>
        <w:tabs>
          <w:tab w:val="num" w:pos="851"/>
        </w:tabs>
        <w:ind w:left="-720" w:right="-694"/>
        <w:jc w:val="center"/>
        <w:rPr>
          <w:rFonts w:ascii="Verdana" w:hAnsi="Verdana"/>
          <w:color w:val="000000"/>
          <w:sz w:val="22"/>
          <w:szCs w:val="22"/>
          <w:lang w:val="el-GR"/>
        </w:rPr>
      </w:pPr>
      <w:r w:rsidRPr="00D376AD">
        <w:rPr>
          <w:rFonts w:ascii="Verdana" w:hAnsi="Verdana"/>
          <w:color w:val="000000"/>
          <w:sz w:val="22"/>
          <w:szCs w:val="22"/>
          <w:lang w:val="el-GR"/>
        </w:rPr>
        <w:tab/>
      </w:r>
      <w:r w:rsidRPr="00D376AD">
        <w:rPr>
          <w:rFonts w:ascii="Verdana" w:hAnsi="Verdana"/>
          <w:color w:val="000000"/>
          <w:sz w:val="22"/>
          <w:szCs w:val="22"/>
          <w:lang w:val="el-GR"/>
        </w:rPr>
        <w:tab/>
      </w:r>
      <w:r w:rsidRPr="00D376AD">
        <w:rPr>
          <w:rFonts w:ascii="Verdana" w:hAnsi="Verdana"/>
          <w:color w:val="000000"/>
          <w:sz w:val="22"/>
          <w:szCs w:val="22"/>
          <w:lang w:val="el-GR"/>
        </w:rPr>
        <w:tab/>
      </w:r>
      <w:r w:rsidRPr="00D376AD">
        <w:rPr>
          <w:rFonts w:ascii="Verdana" w:hAnsi="Verdana"/>
          <w:color w:val="000000"/>
          <w:sz w:val="22"/>
          <w:szCs w:val="22"/>
          <w:lang w:val="el-GR"/>
        </w:rPr>
        <w:tab/>
      </w:r>
    </w:p>
    <w:p w:rsidR="005D285D" w:rsidRPr="00AC0A98" w:rsidRDefault="00F832CC" w:rsidP="00B75143">
      <w:pPr>
        <w:widowControl w:val="0"/>
        <w:tabs>
          <w:tab w:val="num" w:pos="851"/>
        </w:tabs>
        <w:ind w:left="-720" w:right="-694"/>
        <w:rPr>
          <w:rFonts w:ascii="Verdana" w:hAnsi="Verdana"/>
          <w:b/>
          <w:color w:val="000000"/>
          <w:sz w:val="22"/>
          <w:szCs w:val="22"/>
          <w:lang w:val="el-GR"/>
        </w:rPr>
      </w:pPr>
      <w:r>
        <w:rPr>
          <w:rFonts w:ascii="Verdana" w:hAnsi="Verdana"/>
          <w:b/>
          <w:color w:val="000000"/>
          <w:sz w:val="22"/>
          <w:szCs w:val="22"/>
          <w:lang w:val="el-GR"/>
        </w:rPr>
        <w:t>Ο Περιφερειάρχης Νοτίου Αιγαίου</w:t>
      </w:r>
    </w:p>
    <w:p w:rsidR="005D285D" w:rsidRPr="00D376AD" w:rsidRDefault="005D285D" w:rsidP="00B75143">
      <w:pPr>
        <w:widowControl w:val="0"/>
        <w:tabs>
          <w:tab w:val="num" w:pos="851"/>
        </w:tabs>
        <w:ind w:left="-720" w:right="-694"/>
        <w:rPr>
          <w:rFonts w:ascii="Verdana" w:hAnsi="Verdana"/>
          <w:color w:val="000000"/>
          <w:sz w:val="22"/>
          <w:szCs w:val="22"/>
          <w:lang w:val="el-GR"/>
        </w:rPr>
      </w:pPr>
    </w:p>
    <w:p w:rsidR="005D285D" w:rsidRDefault="005D285D" w:rsidP="00B75143">
      <w:pPr>
        <w:widowControl w:val="0"/>
        <w:tabs>
          <w:tab w:val="num" w:pos="851"/>
        </w:tabs>
        <w:ind w:left="-720" w:right="-694"/>
        <w:rPr>
          <w:rFonts w:ascii="Verdana" w:hAnsi="Verdana"/>
          <w:color w:val="000000"/>
          <w:sz w:val="22"/>
          <w:szCs w:val="22"/>
          <w:lang w:val="el-GR"/>
        </w:rPr>
      </w:pPr>
    </w:p>
    <w:p w:rsidR="00B75143" w:rsidRDefault="00B75143" w:rsidP="00B75143">
      <w:pPr>
        <w:ind w:left="2160" w:right="-694" w:firstLine="720"/>
        <w:rPr>
          <w:rFonts w:ascii="Verdana" w:hAnsi="Verdana"/>
          <w:b/>
          <w:color w:val="000000"/>
          <w:sz w:val="22"/>
          <w:szCs w:val="22"/>
          <w:lang w:val="el-GR"/>
        </w:rPr>
      </w:pPr>
    </w:p>
    <w:p w:rsidR="005D285D" w:rsidRPr="00AC0A98" w:rsidRDefault="00F832CC" w:rsidP="00B75143">
      <w:pPr>
        <w:ind w:left="2160" w:right="-694" w:firstLine="720"/>
        <w:rPr>
          <w:rFonts w:ascii="Verdana" w:hAnsi="Verdana"/>
          <w:b/>
          <w:color w:val="000000"/>
          <w:sz w:val="22"/>
          <w:szCs w:val="22"/>
          <w:lang w:val="el-GR"/>
        </w:rPr>
      </w:pPr>
      <w:r>
        <w:rPr>
          <w:rFonts w:ascii="Verdana" w:hAnsi="Verdana"/>
          <w:b/>
          <w:color w:val="000000"/>
          <w:sz w:val="22"/>
          <w:szCs w:val="22"/>
          <w:lang w:val="el-GR"/>
        </w:rPr>
        <w:t>Γιώργος Χατζημάρκος</w:t>
      </w:r>
    </w:p>
    <w:p w:rsidR="005D285D" w:rsidRPr="00AC0A98" w:rsidRDefault="005D285D" w:rsidP="00B75143">
      <w:pPr>
        <w:ind w:left="-426" w:right="44" w:firstLine="567"/>
        <w:rPr>
          <w:rFonts w:ascii="Verdana" w:hAnsi="Verdana" w:cs="TT955o00"/>
          <w:color w:val="000000"/>
          <w:lang w:val="el-GR"/>
        </w:rPr>
      </w:pPr>
    </w:p>
    <w:p w:rsidR="00E94E47" w:rsidRDefault="00E94E47" w:rsidP="00B75143">
      <w:pPr>
        <w:widowControl w:val="0"/>
        <w:tabs>
          <w:tab w:val="left" w:pos="0"/>
          <w:tab w:val="num" w:pos="851"/>
        </w:tabs>
        <w:ind w:left="-426" w:right="-694"/>
        <w:rPr>
          <w:rFonts w:ascii="Verdana" w:hAnsi="Verdana"/>
          <w:color w:val="000000"/>
          <w:sz w:val="22"/>
          <w:szCs w:val="22"/>
          <w:u w:val="single"/>
          <w:lang w:val="el-GR"/>
        </w:rPr>
      </w:pPr>
    </w:p>
    <w:p w:rsidR="00CE23B0" w:rsidRDefault="00CE23B0" w:rsidP="00B75143">
      <w:pPr>
        <w:widowControl w:val="0"/>
        <w:tabs>
          <w:tab w:val="left" w:pos="0"/>
          <w:tab w:val="num" w:pos="851"/>
        </w:tabs>
        <w:ind w:left="-426" w:right="-694"/>
        <w:rPr>
          <w:rFonts w:ascii="Verdana" w:hAnsi="Verdana"/>
          <w:color w:val="000000"/>
          <w:sz w:val="22"/>
          <w:szCs w:val="22"/>
          <w:u w:val="single"/>
          <w:lang w:val="el-GR"/>
        </w:rPr>
      </w:pPr>
    </w:p>
    <w:p w:rsidR="00CE23B0" w:rsidRDefault="00CE23B0" w:rsidP="00B75143">
      <w:pPr>
        <w:widowControl w:val="0"/>
        <w:tabs>
          <w:tab w:val="left" w:pos="0"/>
          <w:tab w:val="num" w:pos="851"/>
        </w:tabs>
        <w:ind w:left="-426" w:right="-694"/>
        <w:rPr>
          <w:rFonts w:ascii="Verdana" w:hAnsi="Verdana"/>
          <w:color w:val="000000"/>
          <w:sz w:val="22"/>
          <w:szCs w:val="22"/>
          <w:u w:val="single"/>
          <w:lang w:val="el-GR"/>
        </w:rPr>
      </w:pPr>
    </w:p>
    <w:p w:rsidR="005D285D" w:rsidRPr="0038387F" w:rsidRDefault="005D285D" w:rsidP="00B75143">
      <w:pPr>
        <w:ind w:left="-720" w:right="-694"/>
        <w:rPr>
          <w:rFonts w:ascii="Arial Narrow" w:hAnsi="Arial Narrow"/>
          <w:b/>
          <w:u w:val="single"/>
          <w:lang w:val="el-GR"/>
        </w:rPr>
      </w:pPr>
    </w:p>
    <w:p w:rsidR="005D285D" w:rsidRPr="0038387F" w:rsidRDefault="005D285D" w:rsidP="005D285D">
      <w:pPr>
        <w:ind w:left="-720" w:right="-694"/>
        <w:jc w:val="both"/>
        <w:rPr>
          <w:rFonts w:ascii="Arial Narrow" w:hAnsi="Arial Narrow"/>
          <w:b/>
          <w:u w:val="single"/>
          <w:lang w:val="el-GR"/>
        </w:rPr>
      </w:pPr>
    </w:p>
    <w:p w:rsidR="005D285D" w:rsidRPr="0038387F" w:rsidRDefault="005D285D" w:rsidP="005D285D">
      <w:pPr>
        <w:ind w:left="-720" w:right="-694"/>
        <w:jc w:val="both"/>
        <w:rPr>
          <w:rFonts w:ascii="Arial Narrow" w:hAnsi="Arial Narrow"/>
          <w:lang w:val="el-GR"/>
        </w:rPr>
      </w:pPr>
      <w:r w:rsidRPr="0038387F">
        <w:rPr>
          <w:rFonts w:ascii="Arial Narrow" w:hAnsi="Arial Narrow"/>
          <w:b/>
          <w:lang w:val="el-GR"/>
        </w:rPr>
        <w:tab/>
      </w:r>
      <w:r w:rsidRPr="0038387F">
        <w:rPr>
          <w:rFonts w:ascii="Arial Narrow" w:hAnsi="Arial Narrow"/>
          <w:b/>
          <w:lang w:val="el-GR"/>
        </w:rPr>
        <w:tab/>
      </w:r>
      <w:r w:rsidRPr="0038387F">
        <w:rPr>
          <w:rFonts w:ascii="Arial Narrow" w:hAnsi="Arial Narrow"/>
          <w:b/>
          <w:lang w:val="el-GR"/>
        </w:rPr>
        <w:tab/>
      </w:r>
      <w:r w:rsidRPr="0038387F">
        <w:rPr>
          <w:rFonts w:ascii="Arial Narrow" w:hAnsi="Arial Narrow"/>
          <w:b/>
          <w:lang w:val="el-GR"/>
        </w:rPr>
        <w:tab/>
      </w:r>
      <w:r w:rsidRPr="0038387F">
        <w:rPr>
          <w:rFonts w:ascii="Arial Narrow" w:hAnsi="Arial Narrow"/>
          <w:b/>
          <w:lang w:val="el-GR"/>
        </w:rPr>
        <w:tab/>
      </w:r>
    </w:p>
    <w:p w:rsidR="00F97389" w:rsidRDefault="00F97389" w:rsidP="00F97389">
      <w:pPr>
        <w:ind w:left="-426" w:right="-483"/>
        <w:jc w:val="both"/>
        <w:rPr>
          <w:rFonts w:ascii="Verdana" w:hAnsi="Verdana"/>
          <w:sz w:val="22"/>
          <w:szCs w:val="22"/>
          <w:lang w:val="el-GR"/>
        </w:rPr>
      </w:pPr>
    </w:p>
    <w:p w:rsidR="00F97389" w:rsidRDefault="00F97389" w:rsidP="00F97389">
      <w:pPr>
        <w:ind w:left="-426" w:right="-483"/>
        <w:jc w:val="both"/>
        <w:rPr>
          <w:rFonts w:ascii="Verdana" w:hAnsi="Verdana"/>
          <w:sz w:val="22"/>
          <w:szCs w:val="22"/>
          <w:lang w:val="el-GR"/>
        </w:rPr>
      </w:pPr>
    </w:p>
    <w:sectPr w:rsidR="00F97389" w:rsidSect="00A65F79">
      <w:pgSz w:w="11906" w:h="16838" w:code="9"/>
      <w:pgMar w:top="992" w:right="1276"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D0A" w:rsidRDefault="00D43D0A">
      <w:r>
        <w:separator/>
      </w:r>
    </w:p>
  </w:endnote>
  <w:endnote w:type="continuationSeparator" w:id="1">
    <w:p w:rsidR="00D43D0A" w:rsidRDefault="00D43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lla">
    <w:altName w:val="Times New Roman"/>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T955o00">
    <w:panose1 w:val="00000000000000000000"/>
    <w:charset w:val="A1"/>
    <w:family w:val="auto"/>
    <w:notTrueType/>
    <w:pitch w:val="default"/>
    <w:sig w:usb0="00000081" w:usb1="00000000" w:usb2="00000000" w:usb3="00000000" w:csb0="00000008" w:csb1="00000000"/>
  </w:font>
  <w:font w:name="ＭＳ ゴシック">
    <w:charset w:val="4E"/>
    <w:family w:val="auto"/>
    <w:pitch w:val="variable"/>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D0A" w:rsidRDefault="00D43D0A">
      <w:r>
        <w:separator/>
      </w:r>
    </w:p>
  </w:footnote>
  <w:footnote w:type="continuationSeparator" w:id="1">
    <w:p w:rsidR="00D43D0A" w:rsidRDefault="00D43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3FA7"/>
    <w:multiLevelType w:val="hybridMultilevel"/>
    <w:tmpl w:val="6D00FA7E"/>
    <w:lvl w:ilvl="0" w:tplc="989C48F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1">
    <w:nsid w:val="0EEF1587"/>
    <w:multiLevelType w:val="hybridMultilevel"/>
    <w:tmpl w:val="1D640D66"/>
    <w:lvl w:ilvl="0" w:tplc="AF84CA90">
      <w:start w:val="1"/>
      <w:numFmt w:val="decimal"/>
      <w:lvlText w:val="%1."/>
      <w:lvlJc w:val="left"/>
      <w:pPr>
        <w:tabs>
          <w:tab w:val="num" w:pos="360"/>
        </w:tabs>
        <w:ind w:left="360" w:hanging="360"/>
      </w:pPr>
      <w:rPr>
        <w:rFonts w:ascii="Arial Narrow" w:eastAsia="Times New Roman" w:hAnsi="Arial Narrow" w:cs="Times New Roman"/>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2">
    <w:nsid w:val="1B9C6ED0"/>
    <w:multiLevelType w:val="hybridMultilevel"/>
    <w:tmpl w:val="CB401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0BB5D90"/>
    <w:multiLevelType w:val="hybridMultilevel"/>
    <w:tmpl w:val="4B80FE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7785E1E"/>
    <w:multiLevelType w:val="hybridMultilevel"/>
    <w:tmpl w:val="FDEE4F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E9123CF"/>
    <w:multiLevelType w:val="hybridMultilevel"/>
    <w:tmpl w:val="0672873E"/>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6">
    <w:nsid w:val="2F405990"/>
    <w:multiLevelType w:val="hybridMultilevel"/>
    <w:tmpl w:val="87A8E2B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2396E5D"/>
    <w:multiLevelType w:val="hybridMultilevel"/>
    <w:tmpl w:val="4D0E6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DCA346A"/>
    <w:multiLevelType w:val="hybridMultilevel"/>
    <w:tmpl w:val="08EA3246"/>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9">
    <w:nsid w:val="43431DD7"/>
    <w:multiLevelType w:val="hybridMultilevel"/>
    <w:tmpl w:val="E1A864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68934FC"/>
    <w:multiLevelType w:val="hybridMultilevel"/>
    <w:tmpl w:val="8230CFD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48577BBD"/>
    <w:multiLevelType w:val="hybridMultilevel"/>
    <w:tmpl w:val="EC540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A572873"/>
    <w:multiLevelType w:val="hybridMultilevel"/>
    <w:tmpl w:val="048CEC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BA65A20"/>
    <w:multiLevelType w:val="hybridMultilevel"/>
    <w:tmpl w:val="7B34143A"/>
    <w:lvl w:ilvl="0" w:tplc="0408000F">
      <w:start w:val="1"/>
      <w:numFmt w:val="decimal"/>
      <w:lvlText w:val="%1."/>
      <w:lvlJc w:val="left"/>
      <w:pPr>
        <w:tabs>
          <w:tab w:val="num" w:pos="0"/>
        </w:tabs>
        <w:ind w:left="0" w:hanging="360"/>
      </w:p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4">
    <w:nsid w:val="4E4026E1"/>
    <w:multiLevelType w:val="hybridMultilevel"/>
    <w:tmpl w:val="336622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40C15BC"/>
    <w:multiLevelType w:val="hybridMultilevel"/>
    <w:tmpl w:val="367C8C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54A87960"/>
    <w:multiLevelType w:val="hybridMultilevel"/>
    <w:tmpl w:val="775C6E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3EE783B"/>
    <w:multiLevelType w:val="hybridMultilevel"/>
    <w:tmpl w:val="6FD6D8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66714681"/>
    <w:multiLevelType w:val="hybridMultilevel"/>
    <w:tmpl w:val="0E901DA6"/>
    <w:lvl w:ilvl="0" w:tplc="3D369E8C">
      <w:start w:val="1"/>
      <w:numFmt w:val="decimal"/>
      <w:lvlText w:val="%1."/>
      <w:lvlJc w:val="left"/>
      <w:pPr>
        <w:ind w:left="-360" w:hanging="36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108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2520" w:hanging="360"/>
      </w:pPr>
    </w:lvl>
    <w:lvl w:ilvl="5" w:tplc="0408001B" w:tentative="1">
      <w:start w:val="1"/>
      <w:numFmt w:val="lowerRoman"/>
      <w:lvlText w:val="%6."/>
      <w:lvlJc w:val="right"/>
      <w:pPr>
        <w:ind w:left="3240" w:hanging="180"/>
      </w:pPr>
    </w:lvl>
    <w:lvl w:ilvl="6" w:tplc="0408000F" w:tentative="1">
      <w:start w:val="1"/>
      <w:numFmt w:val="decimal"/>
      <w:lvlText w:val="%7."/>
      <w:lvlJc w:val="left"/>
      <w:pPr>
        <w:ind w:left="3960" w:hanging="360"/>
      </w:pPr>
    </w:lvl>
    <w:lvl w:ilvl="7" w:tplc="04080019" w:tentative="1">
      <w:start w:val="1"/>
      <w:numFmt w:val="lowerLetter"/>
      <w:lvlText w:val="%8."/>
      <w:lvlJc w:val="left"/>
      <w:pPr>
        <w:ind w:left="4680" w:hanging="360"/>
      </w:pPr>
    </w:lvl>
    <w:lvl w:ilvl="8" w:tplc="0408001B" w:tentative="1">
      <w:start w:val="1"/>
      <w:numFmt w:val="lowerRoman"/>
      <w:lvlText w:val="%9."/>
      <w:lvlJc w:val="right"/>
      <w:pPr>
        <w:ind w:left="5400" w:hanging="180"/>
      </w:pPr>
    </w:lvl>
  </w:abstractNum>
  <w:abstractNum w:abstractNumId="19">
    <w:nsid w:val="68B236E7"/>
    <w:multiLevelType w:val="multilevel"/>
    <w:tmpl w:val="111A7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C1445B"/>
    <w:multiLevelType w:val="hybridMultilevel"/>
    <w:tmpl w:val="3758732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C083659"/>
    <w:multiLevelType w:val="hybridMultilevel"/>
    <w:tmpl w:val="7C368D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7D8E0199"/>
    <w:multiLevelType w:val="hybridMultilevel"/>
    <w:tmpl w:val="EE52633A"/>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3">
    <w:nsid w:val="7F7A3592"/>
    <w:multiLevelType w:val="hybridMultilevel"/>
    <w:tmpl w:val="A7EEEC02"/>
    <w:lvl w:ilvl="0" w:tplc="04080001">
      <w:start w:val="1"/>
      <w:numFmt w:val="bullet"/>
      <w:lvlText w:val=""/>
      <w:lvlJc w:val="left"/>
      <w:pPr>
        <w:tabs>
          <w:tab w:val="num" w:pos="0"/>
        </w:tabs>
        <w:ind w:left="0" w:hanging="360"/>
      </w:pPr>
      <w:rPr>
        <w:rFonts w:ascii="Symbol" w:hAnsi="Symbol"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num w:numId="1">
    <w:abstractNumId w:val="20"/>
  </w:num>
  <w:num w:numId="2">
    <w:abstractNumId w:val="12"/>
  </w:num>
  <w:num w:numId="3">
    <w:abstractNumId w:val="0"/>
  </w:num>
  <w:num w:numId="4">
    <w:abstractNumId w:val="11"/>
  </w:num>
  <w:num w:numId="5">
    <w:abstractNumId w:val="13"/>
  </w:num>
  <w:num w:numId="6">
    <w:abstractNumId w:val="23"/>
  </w:num>
  <w:num w:numId="7">
    <w:abstractNumId w:val="1"/>
  </w:num>
  <w:num w:numId="8">
    <w:abstractNumId w:val="18"/>
  </w:num>
  <w:num w:numId="9">
    <w:abstractNumId w:val="17"/>
  </w:num>
  <w:num w:numId="10">
    <w:abstractNumId w:val="22"/>
  </w:num>
  <w:num w:numId="11">
    <w:abstractNumId w:val="6"/>
  </w:num>
  <w:num w:numId="12">
    <w:abstractNumId w:val="7"/>
  </w:num>
  <w:num w:numId="13">
    <w:abstractNumId w:val="9"/>
  </w:num>
  <w:num w:numId="14">
    <w:abstractNumId w:val="4"/>
  </w:num>
  <w:num w:numId="15">
    <w:abstractNumId w:val="16"/>
  </w:num>
  <w:num w:numId="16">
    <w:abstractNumId w:val="10"/>
  </w:num>
  <w:num w:numId="17">
    <w:abstractNumId w:val="21"/>
  </w:num>
  <w:num w:numId="18">
    <w:abstractNumId w:val="14"/>
  </w:num>
  <w:num w:numId="19">
    <w:abstractNumId w:val="15"/>
  </w:num>
  <w:num w:numId="20">
    <w:abstractNumId w:val="2"/>
  </w:num>
  <w:num w:numId="21">
    <w:abstractNumId w:val="19"/>
  </w:num>
  <w:num w:numId="22">
    <w:abstractNumId w:val="8"/>
  </w:num>
  <w:num w:numId="23">
    <w:abstractNumId w:val="5"/>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D12354"/>
    <w:rsid w:val="00001D02"/>
    <w:rsid w:val="0002474A"/>
    <w:rsid w:val="0004408C"/>
    <w:rsid w:val="00060BD2"/>
    <w:rsid w:val="000669E8"/>
    <w:rsid w:val="000761E8"/>
    <w:rsid w:val="0008177E"/>
    <w:rsid w:val="0009772E"/>
    <w:rsid w:val="000D3EA1"/>
    <w:rsid w:val="000D690C"/>
    <w:rsid w:val="00100784"/>
    <w:rsid w:val="001303B8"/>
    <w:rsid w:val="0014228E"/>
    <w:rsid w:val="00142C18"/>
    <w:rsid w:val="0014707A"/>
    <w:rsid w:val="00166E33"/>
    <w:rsid w:val="00171299"/>
    <w:rsid w:val="00195D9F"/>
    <w:rsid w:val="001A1E4E"/>
    <w:rsid w:val="001A32C2"/>
    <w:rsid w:val="001B2946"/>
    <w:rsid w:val="001B5154"/>
    <w:rsid w:val="001C2E4C"/>
    <w:rsid w:val="001C6842"/>
    <w:rsid w:val="001D0FFC"/>
    <w:rsid w:val="001D377D"/>
    <w:rsid w:val="001E6C3C"/>
    <w:rsid w:val="0022344F"/>
    <w:rsid w:val="0024372C"/>
    <w:rsid w:val="0024443B"/>
    <w:rsid w:val="00245767"/>
    <w:rsid w:val="002640F1"/>
    <w:rsid w:val="0026483D"/>
    <w:rsid w:val="00276853"/>
    <w:rsid w:val="002867E2"/>
    <w:rsid w:val="002910B1"/>
    <w:rsid w:val="002A2A2E"/>
    <w:rsid w:val="002A66DD"/>
    <w:rsid w:val="002B3854"/>
    <w:rsid w:val="002D22B4"/>
    <w:rsid w:val="003057C2"/>
    <w:rsid w:val="00307015"/>
    <w:rsid w:val="00315AD8"/>
    <w:rsid w:val="00317A88"/>
    <w:rsid w:val="0032212D"/>
    <w:rsid w:val="003325B9"/>
    <w:rsid w:val="00340284"/>
    <w:rsid w:val="0038387F"/>
    <w:rsid w:val="003B107D"/>
    <w:rsid w:val="003B246D"/>
    <w:rsid w:val="003D5BD8"/>
    <w:rsid w:val="003E1197"/>
    <w:rsid w:val="003F3B06"/>
    <w:rsid w:val="004069EE"/>
    <w:rsid w:val="00433A00"/>
    <w:rsid w:val="0043625C"/>
    <w:rsid w:val="00451535"/>
    <w:rsid w:val="00485914"/>
    <w:rsid w:val="004A57F0"/>
    <w:rsid w:val="004A6EB3"/>
    <w:rsid w:val="004C010B"/>
    <w:rsid w:val="004D4018"/>
    <w:rsid w:val="004D44CE"/>
    <w:rsid w:val="004D7BCB"/>
    <w:rsid w:val="004E614C"/>
    <w:rsid w:val="004F34E2"/>
    <w:rsid w:val="00500E2E"/>
    <w:rsid w:val="005221BE"/>
    <w:rsid w:val="00522E07"/>
    <w:rsid w:val="005373C4"/>
    <w:rsid w:val="00540991"/>
    <w:rsid w:val="00571F1A"/>
    <w:rsid w:val="00593E88"/>
    <w:rsid w:val="005B18C8"/>
    <w:rsid w:val="005D285D"/>
    <w:rsid w:val="005D60A8"/>
    <w:rsid w:val="0060074C"/>
    <w:rsid w:val="00623912"/>
    <w:rsid w:val="006335F2"/>
    <w:rsid w:val="00650D14"/>
    <w:rsid w:val="00655E5D"/>
    <w:rsid w:val="00685A65"/>
    <w:rsid w:val="006A4535"/>
    <w:rsid w:val="006B48BB"/>
    <w:rsid w:val="006D174E"/>
    <w:rsid w:val="006F6DBC"/>
    <w:rsid w:val="00712955"/>
    <w:rsid w:val="00713992"/>
    <w:rsid w:val="007319B7"/>
    <w:rsid w:val="00755E72"/>
    <w:rsid w:val="00764349"/>
    <w:rsid w:val="00766843"/>
    <w:rsid w:val="00775639"/>
    <w:rsid w:val="007824EF"/>
    <w:rsid w:val="007A0A2B"/>
    <w:rsid w:val="007A657D"/>
    <w:rsid w:val="007A7347"/>
    <w:rsid w:val="007C44CB"/>
    <w:rsid w:val="007D46D0"/>
    <w:rsid w:val="007E5C64"/>
    <w:rsid w:val="007F0391"/>
    <w:rsid w:val="007F0D2A"/>
    <w:rsid w:val="007F4938"/>
    <w:rsid w:val="007F6FF4"/>
    <w:rsid w:val="00801A70"/>
    <w:rsid w:val="0080517D"/>
    <w:rsid w:val="00807D5C"/>
    <w:rsid w:val="00820029"/>
    <w:rsid w:val="00820C9B"/>
    <w:rsid w:val="00820E3C"/>
    <w:rsid w:val="00841C2E"/>
    <w:rsid w:val="00844119"/>
    <w:rsid w:val="008500F3"/>
    <w:rsid w:val="00864485"/>
    <w:rsid w:val="00890625"/>
    <w:rsid w:val="008946B1"/>
    <w:rsid w:val="008A3583"/>
    <w:rsid w:val="008E06CE"/>
    <w:rsid w:val="008E4AB5"/>
    <w:rsid w:val="008E5C6D"/>
    <w:rsid w:val="008F47F0"/>
    <w:rsid w:val="00900E6B"/>
    <w:rsid w:val="00904486"/>
    <w:rsid w:val="00910E6D"/>
    <w:rsid w:val="00913873"/>
    <w:rsid w:val="00924D73"/>
    <w:rsid w:val="00936427"/>
    <w:rsid w:val="00946383"/>
    <w:rsid w:val="00954C80"/>
    <w:rsid w:val="009602CA"/>
    <w:rsid w:val="009602EB"/>
    <w:rsid w:val="009956CD"/>
    <w:rsid w:val="00995BEF"/>
    <w:rsid w:val="009D4DD7"/>
    <w:rsid w:val="009E7B94"/>
    <w:rsid w:val="009F3B33"/>
    <w:rsid w:val="009F53ED"/>
    <w:rsid w:val="00A12279"/>
    <w:rsid w:val="00A1624E"/>
    <w:rsid w:val="00A41AC3"/>
    <w:rsid w:val="00A612E0"/>
    <w:rsid w:val="00A65F79"/>
    <w:rsid w:val="00A9214C"/>
    <w:rsid w:val="00AC0A98"/>
    <w:rsid w:val="00AC546A"/>
    <w:rsid w:val="00AC6DB1"/>
    <w:rsid w:val="00AE0A97"/>
    <w:rsid w:val="00AE2B61"/>
    <w:rsid w:val="00AF14AB"/>
    <w:rsid w:val="00AF337C"/>
    <w:rsid w:val="00B055D1"/>
    <w:rsid w:val="00B05853"/>
    <w:rsid w:val="00B3626D"/>
    <w:rsid w:val="00B7134B"/>
    <w:rsid w:val="00B75143"/>
    <w:rsid w:val="00B8486D"/>
    <w:rsid w:val="00B84A38"/>
    <w:rsid w:val="00B91070"/>
    <w:rsid w:val="00B9112B"/>
    <w:rsid w:val="00BA024C"/>
    <w:rsid w:val="00BA5611"/>
    <w:rsid w:val="00BA586D"/>
    <w:rsid w:val="00BB1E70"/>
    <w:rsid w:val="00BE2E44"/>
    <w:rsid w:val="00BE3119"/>
    <w:rsid w:val="00BE48E2"/>
    <w:rsid w:val="00C11449"/>
    <w:rsid w:val="00C15658"/>
    <w:rsid w:val="00C234E5"/>
    <w:rsid w:val="00C32952"/>
    <w:rsid w:val="00C41E4A"/>
    <w:rsid w:val="00C71916"/>
    <w:rsid w:val="00C9215D"/>
    <w:rsid w:val="00C95411"/>
    <w:rsid w:val="00CA1D5C"/>
    <w:rsid w:val="00CA4014"/>
    <w:rsid w:val="00CA6921"/>
    <w:rsid w:val="00CB3910"/>
    <w:rsid w:val="00CC144C"/>
    <w:rsid w:val="00CD2D53"/>
    <w:rsid w:val="00CE23B0"/>
    <w:rsid w:val="00CE5FF5"/>
    <w:rsid w:val="00D12354"/>
    <w:rsid w:val="00D127EB"/>
    <w:rsid w:val="00D17C61"/>
    <w:rsid w:val="00D223FA"/>
    <w:rsid w:val="00D224F8"/>
    <w:rsid w:val="00D376AD"/>
    <w:rsid w:val="00D41D19"/>
    <w:rsid w:val="00D43D0A"/>
    <w:rsid w:val="00D46210"/>
    <w:rsid w:val="00D5526D"/>
    <w:rsid w:val="00D76440"/>
    <w:rsid w:val="00D82568"/>
    <w:rsid w:val="00D95608"/>
    <w:rsid w:val="00DB0703"/>
    <w:rsid w:val="00DD2321"/>
    <w:rsid w:val="00E105BD"/>
    <w:rsid w:val="00E22EF6"/>
    <w:rsid w:val="00E303E8"/>
    <w:rsid w:val="00E41002"/>
    <w:rsid w:val="00E526B5"/>
    <w:rsid w:val="00E5632D"/>
    <w:rsid w:val="00E94E47"/>
    <w:rsid w:val="00EA0717"/>
    <w:rsid w:val="00EB449F"/>
    <w:rsid w:val="00EB5E55"/>
    <w:rsid w:val="00EC42FE"/>
    <w:rsid w:val="00ED2DBD"/>
    <w:rsid w:val="00F06E2C"/>
    <w:rsid w:val="00F15482"/>
    <w:rsid w:val="00F3622B"/>
    <w:rsid w:val="00F40C1F"/>
    <w:rsid w:val="00F41529"/>
    <w:rsid w:val="00F4526E"/>
    <w:rsid w:val="00F45F1A"/>
    <w:rsid w:val="00F51826"/>
    <w:rsid w:val="00F5206C"/>
    <w:rsid w:val="00F53C6C"/>
    <w:rsid w:val="00F832CC"/>
    <w:rsid w:val="00F955AC"/>
    <w:rsid w:val="00F9667F"/>
    <w:rsid w:val="00F97389"/>
    <w:rsid w:val="00FB636C"/>
    <w:rsid w:val="00FC1EAD"/>
    <w:rsid w:val="00FE038B"/>
    <w:rsid w:val="00FE0D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lasAlla" w:eastAsia="Times New Roman" w:hAnsi="HellasAlla"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53"/>
    <w:pPr>
      <w:overflowPunct w:val="0"/>
      <w:autoSpaceDE w:val="0"/>
      <w:autoSpaceDN w:val="0"/>
      <w:adjustRightInd w:val="0"/>
      <w:textAlignment w:val="baseline"/>
    </w:pPr>
    <w:rPr>
      <w:lang w:val="en-GB"/>
    </w:rPr>
  </w:style>
  <w:style w:type="paragraph" w:styleId="3">
    <w:name w:val="heading 3"/>
    <w:basedOn w:val="a"/>
    <w:link w:val="3Char"/>
    <w:uiPriority w:val="9"/>
    <w:qFormat/>
    <w:rsid w:val="00F40C1F"/>
    <w:pPr>
      <w:overflowPunct/>
      <w:autoSpaceDE/>
      <w:autoSpaceDN/>
      <w:adjustRightInd/>
      <w:spacing w:before="100" w:beforeAutospacing="1" w:after="100" w:afterAutospacing="1"/>
      <w:textAlignment w:val="auto"/>
      <w:outlineLvl w:val="2"/>
    </w:pPr>
    <w:rPr>
      <w:rFonts w:ascii="Times New Roman" w:hAnsi="Times New Roman"/>
      <w:b/>
      <w:bCs/>
      <w:sz w:val="27"/>
      <w:szCs w:val="27"/>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853"/>
    <w:pPr>
      <w:tabs>
        <w:tab w:val="center" w:pos="4153"/>
        <w:tab w:val="right" w:pos="8306"/>
      </w:tabs>
    </w:pPr>
  </w:style>
  <w:style w:type="paragraph" w:styleId="a4">
    <w:name w:val="footer"/>
    <w:basedOn w:val="a"/>
    <w:rsid w:val="00B05853"/>
    <w:pPr>
      <w:tabs>
        <w:tab w:val="center" w:pos="4153"/>
        <w:tab w:val="right" w:pos="8306"/>
      </w:tabs>
    </w:pPr>
  </w:style>
  <w:style w:type="paragraph" w:styleId="a5">
    <w:name w:val="Balloon Text"/>
    <w:basedOn w:val="a"/>
    <w:semiHidden/>
    <w:rsid w:val="003B246D"/>
    <w:rPr>
      <w:rFonts w:ascii="Tahoma" w:hAnsi="Tahoma" w:cs="Tahoma"/>
      <w:sz w:val="16"/>
      <w:szCs w:val="16"/>
    </w:rPr>
  </w:style>
  <w:style w:type="character" w:styleId="-">
    <w:name w:val="Hyperlink"/>
    <w:basedOn w:val="a0"/>
    <w:rsid w:val="00EC42FE"/>
    <w:rPr>
      <w:color w:val="0000FF"/>
      <w:u w:val="single"/>
    </w:rPr>
  </w:style>
  <w:style w:type="paragraph" w:styleId="a6">
    <w:name w:val="List Paragraph"/>
    <w:basedOn w:val="a"/>
    <w:uiPriority w:val="34"/>
    <w:qFormat/>
    <w:rsid w:val="00E94E47"/>
    <w:pPr>
      <w:ind w:left="720"/>
      <w:contextualSpacing/>
    </w:pPr>
  </w:style>
  <w:style w:type="character" w:customStyle="1" w:styleId="3Char">
    <w:name w:val="Επικεφαλίδα 3 Char"/>
    <w:basedOn w:val="a0"/>
    <w:link w:val="3"/>
    <w:uiPriority w:val="9"/>
    <w:rsid w:val="00F40C1F"/>
    <w:rPr>
      <w:rFonts w:ascii="Times New Roman" w:hAnsi="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lasAlla" w:eastAsia="Times New Roman" w:hAnsi="HellasAlla" w:cs="Times New Roman"/>
        <w:lang w:val="el-GR" w:eastAsia="el-G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53"/>
    <w:pPr>
      <w:overflowPunct w:val="0"/>
      <w:autoSpaceDE w:val="0"/>
      <w:autoSpaceDN w:val="0"/>
      <w:adjustRightInd w:val="0"/>
      <w:textAlignment w:val="baseline"/>
    </w:pPr>
    <w:rPr>
      <w:lang w:val="en-GB"/>
    </w:rPr>
  </w:style>
  <w:style w:type="paragraph" w:styleId="Heading3">
    <w:name w:val="heading 3"/>
    <w:basedOn w:val="Normal"/>
    <w:link w:val="Heading3Char"/>
    <w:uiPriority w:val="9"/>
    <w:qFormat/>
    <w:rsid w:val="00F40C1F"/>
    <w:pPr>
      <w:overflowPunct/>
      <w:autoSpaceDE/>
      <w:autoSpaceDN/>
      <w:adjustRightInd/>
      <w:spacing w:before="100" w:beforeAutospacing="1" w:after="100" w:afterAutospacing="1"/>
      <w:textAlignment w:val="auto"/>
      <w:outlineLvl w:val="2"/>
    </w:pPr>
    <w:rPr>
      <w:rFonts w:ascii="Times New Roman" w:hAnsi="Times New Roman"/>
      <w:b/>
      <w:bCs/>
      <w:sz w:val="27"/>
      <w:szCs w:val="27"/>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853"/>
    <w:pPr>
      <w:tabs>
        <w:tab w:val="center" w:pos="4153"/>
        <w:tab w:val="right" w:pos="8306"/>
      </w:tabs>
    </w:pPr>
  </w:style>
  <w:style w:type="paragraph" w:styleId="Footer">
    <w:name w:val="footer"/>
    <w:basedOn w:val="Normal"/>
    <w:rsid w:val="00B05853"/>
    <w:pPr>
      <w:tabs>
        <w:tab w:val="center" w:pos="4153"/>
        <w:tab w:val="right" w:pos="8306"/>
      </w:tabs>
    </w:pPr>
  </w:style>
  <w:style w:type="paragraph" w:styleId="BalloonText">
    <w:name w:val="Balloon Text"/>
    <w:basedOn w:val="Normal"/>
    <w:semiHidden/>
    <w:rsid w:val="003B246D"/>
    <w:rPr>
      <w:rFonts w:ascii="Tahoma" w:hAnsi="Tahoma" w:cs="Tahoma"/>
      <w:sz w:val="16"/>
      <w:szCs w:val="16"/>
    </w:rPr>
  </w:style>
  <w:style w:type="character" w:styleId="Hyperlink">
    <w:name w:val="Hyperlink"/>
    <w:basedOn w:val="DefaultParagraphFont"/>
    <w:rsid w:val="00EC42FE"/>
    <w:rPr>
      <w:color w:val="0000FF"/>
      <w:u w:val="single"/>
    </w:rPr>
  </w:style>
  <w:style w:type="paragraph" w:styleId="ListParagraph">
    <w:name w:val="List Paragraph"/>
    <w:basedOn w:val="Normal"/>
    <w:uiPriority w:val="34"/>
    <w:qFormat/>
    <w:rsid w:val="00E94E47"/>
    <w:pPr>
      <w:ind w:left="720"/>
      <w:contextualSpacing/>
    </w:pPr>
  </w:style>
  <w:style w:type="character" w:customStyle="1" w:styleId="Heading3Char">
    <w:name w:val="Heading 3 Char"/>
    <w:basedOn w:val="DefaultParagraphFont"/>
    <w:link w:val="Heading3"/>
    <w:uiPriority w:val="9"/>
    <w:rsid w:val="00F40C1F"/>
    <w:rPr>
      <w:rFonts w:ascii="Times New Roma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923346052">
      <w:bodyDiv w:val="1"/>
      <w:marLeft w:val="0"/>
      <w:marRight w:val="0"/>
      <w:marTop w:val="0"/>
      <w:marBottom w:val="0"/>
      <w:divBdr>
        <w:top w:val="none" w:sz="0" w:space="0" w:color="auto"/>
        <w:left w:val="none" w:sz="0" w:space="0" w:color="auto"/>
        <w:bottom w:val="none" w:sz="0" w:space="0" w:color="auto"/>
        <w:right w:val="none" w:sz="0" w:space="0" w:color="auto"/>
      </w:divBdr>
    </w:div>
    <w:div w:id="1001855692">
      <w:bodyDiv w:val="1"/>
      <w:marLeft w:val="0"/>
      <w:marRight w:val="0"/>
      <w:marTop w:val="0"/>
      <w:marBottom w:val="0"/>
      <w:divBdr>
        <w:top w:val="none" w:sz="0" w:space="0" w:color="auto"/>
        <w:left w:val="none" w:sz="0" w:space="0" w:color="auto"/>
        <w:bottom w:val="none" w:sz="0" w:space="0" w:color="auto"/>
        <w:right w:val="none" w:sz="0" w:space="0" w:color="auto"/>
      </w:divBdr>
    </w:div>
    <w:div w:id="1265386716">
      <w:bodyDiv w:val="1"/>
      <w:marLeft w:val="0"/>
      <w:marRight w:val="0"/>
      <w:marTop w:val="0"/>
      <w:marBottom w:val="0"/>
      <w:divBdr>
        <w:top w:val="none" w:sz="0" w:space="0" w:color="auto"/>
        <w:left w:val="none" w:sz="0" w:space="0" w:color="auto"/>
        <w:bottom w:val="none" w:sz="0" w:space="0" w:color="auto"/>
        <w:right w:val="none" w:sz="0" w:space="0" w:color="auto"/>
      </w:divBdr>
    </w:div>
    <w:div w:id="1717468413">
      <w:bodyDiv w:val="1"/>
      <w:marLeft w:val="0"/>
      <w:marRight w:val="0"/>
      <w:marTop w:val="0"/>
      <w:marBottom w:val="0"/>
      <w:divBdr>
        <w:top w:val="none" w:sz="0" w:space="0" w:color="auto"/>
        <w:left w:val="none" w:sz="0" w:space="0" w:color="auto"/>
        <w:bottom w:val="none" w:sz="0" w:space="0" w:color="auto"/>
        <w:right w:val="none" w:sz="0" w:space="0" w:color="auto"/>
      </w:divBdr>
    </w:div>
    <w:div w:id="20470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d.anaptixis@pnai.gov.gr" TargetMode="External"/><Relationship Id="rId4" Type="http://schemas.openxmlformats.org/officeDocument/2006/relationships/settings" Target="settings.xml"/><Relationship Id="rId9" Type="http://schemas.openxmlformats.org/officeDocument/2006/relationships/hyperlink" Target="mailto:p.veneris@rho.pnai.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4533D-03CE-2B4D-9F47-EE8EB9EA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4042</Words>
  <Characters>21831</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bb</Company>
  <LinksUpToDate>false</LinksUpToDate>
  <CharactersWithSpaces>25822</CharactersWithSpaces>
  <SharedDoc>false</SharedDoc>
  <HLinks>
    <vt:vector size="6" baseType="variant">
      <vt:variant>
        <vt:i4>1704058</vt:i4>
      </vt:variant>
      <vt:variant>
        <vt:i4>0</vt:i4>
      </vt:variant>
      <vt:variant>
        <vt:i4>0</vt:i4>
      </vt:variant>
      <vt:variant>
        <vt:i4>5</vt:i4>
      </vt:variant>
      <vt:variant>
        <vt:lpwstr>mailto:p.veneris@rho.pnai.gov.gr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Antonis Sigalas</cp:lastModifiedBy>
  <cp:revision>2</cp:revision>
  <cp:lastPrinted>2020-09-03T18:18:00Z</cp:lastPrinted>
  <dcterms:created xsi:type="dcterms:W3CDTF">2020-09-05T15:29:00Z</dcterms:created>
  <dcterms:modified xsi:type="dcterms:W3CDTF">2020-09-05T15:29:00Z</dcterms:modified>
</cp:coreProperties>
</file>